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AA11F" w14:textId="6A62DF71" w:rsidR="00020441" w:rsidRDefault="00020441"/>
    <w:p w14:paraId="2764143B" w14:textId="7AE5BD63" w:rsidR="00020441" w:rsidRDefault="00020441"/>
    <w:p w14:paraId="4568D979" w14:textId="2E2FD7C1" w:rsidR="00020441" w:rsidRDefault="000F7BF9">
      <w:r>
        <w:rPr>
          <w:noProof/>
        </w:rPr>
        <w:drawing>
          <wp:anchor distT="0" distB="0" distL="114300" distR="114300" simplePos="0" relativeHeight="251658240" behindDoc="1" locked="0" layoutInCell="1" allowOverlap="1" wp14:anchorId="65169153" wp14:editId="1324EC87">
            <wp:simplePos x="0" y="0"/>
            <wp:positionH relativeFrom="page">
              <wp:posOffset>3388995</wp:posOffset>
            </wp:positionH>
            <wp:positionV relativeFrom="page">
              <wp:posOffset>1568450</wp:posOffset>
            </wp:positionV>
            <wp:extent cx="806450" cy="979170"/>
            <wp:effectExtent l="0" t="0" r="0" b="0"/>
            <wp:wrapTight wrapText="bothSides">
              <wp:wrapPolygon edited="0">
                <wp:start x="0" y="0"/>
                <wp:lineTo x="0" y="21012"/>
                <wp:lineTo x="20920" y="21012"/>
                <wp:lineTo x="20920" y="0"/>
                <wp:lineTo x="0" y="0"/>
              </wp:wrapPolygon>
            </wp:wrapTight>
            <wp:docPr id="8891085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6450" cy="9791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6BE014" w14:textId="450A10B5" w:rsidR="00020441" w:rsidRDefault="00020441" w:rsidP="003C55ED">
      <w:pPr>
        <w:pStyle w:val="TDC1"/>
      </w:pPr>
    </w:p>
    <w:p w14:paraId="59F27ABD" w14:textId="77777777" w:rsidR="00020441" w:rsidRDefault="00020441" w:rsidP="003C55ED">
      <w:pPr>
        <w:pStyle w:val="TDC1"/>
      </w:pPr>
    </w:p>
    <w:p w14:paraId="47D2D3D6" w14:textId="77777777" w:rsidR="000F7BF9" w:rsidRDefault="000F7BF9" w:rsidP="000F7BF9">
      <w:pPr>
        <w:rPr>
          <w:lang w:val="es-ES"/>
        </w:rPr>
      </w:pPr>
    </w:p>
    <w:p w14:paraId="74E48202" w14:textId="66AD3403" w:rsidR="000F7BF9" w:rsidRPr="009C4F21" w:rsidRDefault="000F7BF9" w:rsidP="000F7BF9">
      <w:pPr>
        <w:tabs>
          <w:tab w:val="left" w:pos="7770"/>
        </w:tabs>
        <w:jc w:val="right"/>
        <w:rPr>
          <w:rFonts w:cs="Arial"/>
          <w:sz w:val="18"/>
          <w:szCs w:val="18"/>
          <w:lang w:val="es-419"/>
        </w:rPr>
      </w:pPr>
    </w:p>
    <w:p w14:paraId="1A100D8C" w14:textId="77777777" w:rsidR="000F7BF9" w:rsidRPr="000F7BF9" w:rsidRDefault="000F7BF9" w:rsidP="000F7BF9">
      <w:pPr>
        <w:rPr>
          <w:lang w:val="es-ES"/>
        </w:rPr>
      </w:pPr>
    </w:p>
    <w:p w14:paraId="465B98F3" w14:textId="77777777" w:rsidR="00020441" w:rsidRDefault="00020441"/>
    <w:p w14:paraId="43077885" w14:textId="77777777" w:rsidR="00020441" w:rsidRDefault="00020441"/>
    <w:p w14:paraId="758E69EF" w14:textId="77777777" w:rsidR="008838A5" w:rsidRDefault="008838A5"/>
    <w:p w14:paraId="10A762C8" w14:textId="77777777" w:rsidR="00020441" w:rsidRDefault="00020441"/>
    <w:p w14:paraId="1888482A" w14:textId="77777777" w:rsidR="008838A5" w:rsidRDefault="008838A5" w:rsidP="008838A5">
      <w:pPr>
        <w:pStyle w:val="Textoindependiente"/>
        <w:rPr>
          <w:sz w:val="32"/>
          <w:szCs w:val="32"/>
          <w:lang w:val="es-ES"/>
        </w:rPr>
      </w:pPr>
      <w:r>
        <w:rPr>
          <w:sz w:val="40"/>
          <w:szCs w:val="40"/>
          <w:lang w:val="es-ES"/>
        </w:rPr>
        <w:t>PARÁMETROS Y VARIABLES PARA EL CÁLCULO DE LAS CURVAS ISO-GT, Y EL X% DE LA CURVA DE REFERENCIA DE LAS OFERTAS DE PRECIO DE LAS PLANTAS HIDRÁULICAS</w:t>
      </w:r>
    </w:p>
    <w:p w14:paraId="14B50E75" w14:textId="77777777" w:rsidR="00020441" w:rsidRDefault="00020441" w:rsidP="003C55ED">
      <w:pPr>
        <w:pStyle w:val="TDC1"/>
      </w:pPr>
    </w:p>
    <w:p w14:paraId="00F8537C" w14:textId="77777777" w:rsidR="00020441" w:rsidRDefault="00020441"/>
    <w:p w14:paraId="51A764C5" w14:textId="77777777" w:rsidR="00020441" w:rsidRDefault="00020441"/>
    <w:p w14:paraId="1222BB47" w14:textId="77777777" w:rsidR="00020441" w:rsidRDefault="00020441"/>
    <w:p w14:paraId="59776045" w14:textId="77777777" w:rsidR="00020441" w:rsidRDefault="00020441"/>
    <w:p w14:paraId="44F07507" w14:textId="4018F8ED" w:rsidR="000B5AD2" w:rsidRDefault="00F40D91" w:rsidP="00F40D91">
      <w:pPr>
        <w:tabs>
          <w:tab w:val="left" w:pos="9142"/>
        </w:tabs>
        <w:ind w:left="9142" w:hanging="9142"/>
        <w:jc w:val="left"/>
        <w:rPr>
          <w:rFonts w:cs="Arial"/>
          <w:b/>
          <w:bCs/>
          <w:sz w:val="28"/>
          <w:szCs w:val="28"/>
          <w:lang w:val="es-MX"/>
        </w:rPr>
      </w:pPr>
      <w:r w:rsidRPr="00F40D91">
        <w:rPr>
          <w:rFonts w:cs="Arial"/>
          <w:b/>
          <w:bCs/>
          <w:sz w:val="28"/>
          <w:szCs w:val="28"/>
          <w:lang w:val="es-MX"/>
        </w:rPr>
        <w:fldChar w:fldCharType="begin"/>
      </w:r>
      <w:r w:rsidRPr="00F40D91">
        <w:rPr>
          <w:rFonts w:cs="Arial"/>
          <w:b/>
          <w:bCs/>
          <w:sz w:val="28"/>
          <w:szCs w:val="28"/>
          <w:lang w:val="es-MX"/>
        </w:rPr>
        <w:instrText xml:space="preserve"> MERGEFIELD  Fecha  \* MERGEFORMAT </w:instrText>
      </w:r>
      <w:r w:rsidRPr="00F40D91">
        <w:rPr>
          <w:rFonts w:cs="Arial"/>
          <w:b/>
          <w:bCs/>
          <w:sz w:val="28"/>
          <w:szCs w:val="28"/>
          <w:lang w:val="es-MX"/>
        </w:rPr>
        <w:fldChar w:fldCharType="separate"/>
      </w:r>
      <w:r w:rsidR="008838A5">
        <w:rPr>
          <w:rFonts w:cs="Arial"/>
          <w:b/>
          <w:bCs/>
          <w:noProof/>
          <w:sz w:val="28"/>
          <w:szCs w:val="28"/>
          <w:lang w:val="es-MX"/>
        </w:rPr>
        <w:t>5</w:t>
      </w:r>
      <w:r w:rsidRPr="00F40D91">
        <w:rPr>
          <w:rFonts w:cs="Arial"/>
          <w:b/>
          <w:bCs/>
          <w:noProof/>
          <w:sz w:val="28"/>
          <w:szCs w:val="28"/>
          <w:lang w:val="es-MX"/>
        </w:rPr>
        <w:t xml:space="preserve"> de </w:t>
      </w:r>
      <w:r w:rsidR="008838A5">
        <w:rPr>
          <w:rFonts w:cs="Arial"/>
          <w:b/>
          <w:bCs/>
          <w:noProof/>
          <w:sz w:val="28"/>
          <w:szCs w:val="28"/>
          <w:lang w:val="es-MX"/>
        </w:rPr>
        <w:t>septiembre</w:t>
      </w:r>
      <w:r w:rsidRPr="00F40D91">
        <w:rPr>
          <w:rFonts w:cs="Arial"/>
          <w:b/>
          <w:bCs/>
          <w:noProof/>
          <w:sz w:val="28"/>
          <w:szCs w:val="28"/>
          <w:lang w:val="es-MX"/>
        </w:rPr>
        <w:t xml:space="preserve"> de 2026</w:t>
      </w:r>
      <w:r w:rsidRPr="00F40D91">
        <w:rPr>
          <w:rFonts w:cs="Arial"/>
          <w:b/>
          <w:bCs/>
          <w:sz w:val="28"/>
          <w:szCs w:val="28"/>
          <w:lang w:val="es-MX"/>
        </w:rPr>
        <w:fldChar w:fldCharType="end"/>
      </w:r>
      <w:r w:rsidR="009C08C1">
        <w:rPr>
          <w:rFonts w:cs="Arial"/>
          <w:b/>
          <w:bCs/>
          <w:sz w:val="28"/>
          <w:szCs w:val="28"/>
          <w:lang w:val="es-MX"/>
        </w:rPr>
        <w:tab/>
      </w:r>
    </w:p>
    <w:p w14:paraId="18F1E9BA" w14:textId="075CEE6C" w:rsidR="00E166D7" w:rsidRDefault="00E166D7" w:rsidP="009C08C1">
      <w:pPr>
        <w:tabs>
          <w:tab w:val="left" w:pos="9142"/>
        </w:tabs>
        <w:jc w:val="left"/>
        <w:rPr>
          <w:rFonts w:cs="Arial"/>
          <w:sz w:val="22"/>
          <w:szCs w:val="22"/>
          <w:lang w:val="es-MX"/>
        </w:rPr>
      </w:pPr>
    </w:p>
    <w:p w14:paraId="6E829A66" w14:textId="77777777" w:rsidR="0010544E" w:rsidRPr="00F40D91" w:rsidRDefault="0010544E" w:rsidP="00F40D91">
      <w:pPr>
        <w:tabs>
          <w:tab w:val="left" w:pos="9142"/>
        </w:tabs>
        <w:ind w:left="9142" w:hanging="9142"/>
        <w:jc w:val="left"/>
        <w:rPr>
          <w:sz w:val="28"/>
          <w:szCs w:val="28"/>
        </w:rPr>
      </w:pPr>
    </w:p>
    <w:p w14:paraId="32E55F6B" w14:textId="77777777" w:rsidR="00020441" w:rsidRDefault="00020441">
      <w:pPr>
        <w:ind w:left="4956"/>
        <w:jc w:val="left"/>
        <w:rPr>
          <w:b/>
        </w:rPr>
      </w:pPr>
    </w:p>
    <w:tbl>
      <w:tblPr>
        <w:tblW w:w="0" w:type="auto"/>
        <w:tblInd w:w="4956" w:type="dxa"/>
        <w:tblCellMar>
          <w:left w:w="70" w:type="dxa"/>
          <w:right w:w="70" w:type="dxa"/>
        </w:tblCellMar>
        <w:tblLook w:val="0000" w:firstRow="0" w:lastRow="0" w:firstColumn="0" w:lastColumn="0" w:noHBand="0" w:noVBand="0"/>
      </w:tblPr>
      <w:tblGrid>
        <w:gridCol w:w="4024"/>
      </w:tblGrid>
      <w:tr w:rsidR="00020441" w14:paraId="5FB9C57C" w14:textId="77777777">
        <w:tc>
          <w:tcPr>
            <w:tcW w:w="4024" w:type="dxa"/>
          </w:tcPr>
          <w:p w14:paraId="248A6A95" w14:textId="77777777" w:rsidR="0077100C" w:rsidRDefault="0077100C">
            <w:pPr>
              <w:jc w:val="left"/>
              <w:rPr>
                <w:b/>
                <w:bCs/>
              </w:rPr>
            </w:pPr>
          </w:p>
          <w:p w14:paraId="6D27A061" w14:textId="77777777" w:rsidR="0077100C" w:rsidRDefault="0077100C">
            <w:pPr>
              <w:jc w:val="left"/>
              <w:rPr>
                <w:b/>
                <w:bCs/>
              </w:rPr>
            </w:pPr>
          </w:p>
          <w:p w14:paraId="2440A9AB" w14:textId="77777777" w:rsidR="00020441" w:rsidRDefault="00020441">
            <w:pPr>
              <w:jc w:val="left"/>
              <w:rPr>
                <w:b/>
                <w:bCs/>
              </w:rPr>
            </w:pPr>
            <w:r>
              <w:rPr>
                <w:b/>
                <w:bCs/>
              </w:rPr>
              <w:t>CIRCULACIÓN:</w:t>
            </w:r>
          </w:p>
        </w:tc>
      </w:tr>
      <w:tr w:rsidR="00020441" w14:paraId="6A659732" w14:textId="77777777">
        <w:tc>
          <w:tcPr>
            <w:tcW w:w="4024" w:type="dxa"/>
          </w:tcPr>
          <w:p w14:paraId="74DA0102" w14:textId="77777777" w:rsidR="00020441" w:rsidRDefault="00020441">
            <w:pPr>
              <w:jc w:val="left"/>
              <w:rPr>
                <w:b/>
                <w:bCs/>
              </w:rPr>
            </w:pPr>
            <w:r>
              <w:rPr>
                <w:b/>
                <w:bCs/>
              </w:rPr>
              <w:t>MIEMBROS DE LA COMISIÓN DE</w:t>
            </w:r>
          </w:p>
        </w:tc>
      </w:tr>
      <w:tr w:rsidR="00020441" w14:paraId="2BED25F3" w14:textId="77777777">
        <w:tc>
          <w:tcPr>
            <w:tcW w:w="4024" w:type="dxa"/>
          </w:tcPr>
          <w:p w14:paraId="5666418A" w14:textId="7A1EF62F" w:rsidR="00020441" w:rsidRDefault="00020441">
            <w:pPr>
              <w:tabs>
                <w:tab w:val="left" w:pos="4606"/>
                <w:tab w:val="left" w:pos="9142"/>
              </w:tabs>
              <w:jc w:val="left"/>
              <w:rPr>
                <w:b/>
                <w:bCs/>
              </w:rPr>
            </w:pPr>
            <w:r>
              <w:rPr>
                <w:b/>
                <w:bCs/>
              </w:rPr>
              <w:t xml:space="preserve">REGULACIÓN DE ENERGÍA Y GAS </w:t>
            </w:r>
          </w:p>
        </w:tc>
      </w:tr>
    </w:tbl>
    <w:p w14:paraId="43D59473" w14:textId="77777777" w:rsidR="00E7209B" w:rsidRDefault="00E7209B" w:rsidP="003C55ED">
      <w:pPr>
        <w:pStyle w:val="Ttulo1"/>
        <w:numPr>
          <w:ilvl w:val="0"/>
          <w:numId w:val="0"/>
        </w:numPr>
        <w:ind w:left="432" w:hanging="432"/>
        <w:jc w:val="center"/>
      </w:pPr>
    </w:p>
    <w:p w14:paraId="73ACC9F4" w14:textId="77777777" w:rsidR="00E7209B" w:rsidRDefault="00020441" w:rsidP="003C55ED">
      <w:pPr>
        <w:pStyle w:val="Ttulo1"/>
        <w:numPr>
          <w:ilvl w:val="0"/>
          <w:numId w:val="0"/>
        </w:numPr>
        <w:ind w:left="432" w:hanging="432"/>
        <w:jc w:val="center"/>
      </w:pPr>
      <w:r>
        <w:br w:type="page"/>
      </w:r>
      <w:bookmarkStart w:id="0" w:name="_Toc417034533"/>
      <w:bookmarkStart w:id="1" w:name="_Toc429486657"/>
    </w:p>
    <w:p w14:paraId="0E8DDC64" w14:textId="77777777" w:rsidR="008838A5" w:rsidRDefault="008838A5" w:rsidP="008838A5">
      <w:pPr>
        <w:spacing w:after="240"/>
        <w:jc w:val="center"/>
        <w:rPr>
          <w:rFonts w:cs="Arial"/>
          <w:b/>
          <w:color w:val="000000"/>
        </w:rPr>
      </w:pPr>
      <w:r w:rsidRPr="001A33B4">
        <w:rPr>
          <w:rFonts w:cs="Arial"/>
          <w:b/>
          <w:color w:val="000000"/>
        </w:rPr>
        <w:lastRenderedPageBreak/>
        <w:t>CONTENIDO</w:t>
      </w:r>
    </w:p>
    <w:p w14:paraId="561028BA" w14:textId="2BCBC106" w:rsidR="008838A5" w:rsidRDefault="008838A5">
      <w:pPr>
        <w:pStyle w:val="TDC1"/>
        <w:rPr>
          <w:rFonts w:asciiTheme="minorHAnsi" w:eastAsiaTheme="minorEastAsia" w:hAnsiTheme="minorHAnsi" w:cstheme="minorBidi"/>
          <w:kern w:val="2"/>
          <w:lang w:eastAsia="es-ES_tradnl"/>
          <w14:ligatures w14:val="standardContextual"/>
        </w:rPr>
      </w:pPr>
      <w:r>
        <w:rPr>
          <w:rFonts w:cs="Arial"/>
          <w:sz w:val="22"/>
        </w:rPr>
        <w:fldChar w:fldCharType="begin"/>
      </w:r>
      <w:r>
        <w:rPr>
          <w:rFonts w:cs="Arial"/>
          <w:sz w:val="22"/>
        </w:rPr>
        <w:instrText xml:space="preserve"> TOC TOC \o "1-3" \h \z \u \* MERGEFORMAT </w:instrText>
      </w:r>
      <w:r>
        <w:rPr>
          <w:rFonts w:cs="Arial"/>
          <w:sz w:val="22"/>
        </w:rPr>
        <w:fldChar w:fldCharType="separate"/>
      </w:r>
      <w:hyperlink w:anchor="_Toc239520982" w:history="1">
        <w:r w:rsidRPr="00250D46">
          <w:rPr>
            <w:rStyle w:val="Hipervnculo"/>
            <w:rFonts w:cs="Arial"/>
            <w:lang w:val="es-CO"/>
          </w:rPr>
          <w:t>1.</w:t>
        </w:r>
        <w:r>
          <w:rPr>
            <w:rFonts w:asciiTheme="minorHAnsi" w:eastAsiaTheme="minorEastAsia" w:hAnsiTheme="minorHAnsi" w:cstheme="minorBidi"/>
            <w:kern w:val="2"/>
            <w:lang w:eastAsia="es-ES_tradnl"/>
            <w14:ligatures w14:val="standardContextual"/>
          </w:rPr>
          <w:tab/>
        </w:r>
        <w:r w:rsidRPr="00250D46">
          <w:rPr>
            <w:rStyle w:val="Hipervnculo"/>
            <w:rFonts w:cs="Arial"/>
            <w:lang w:val="es-CO"/>
          </w:rPr>
          <w:t>OBJETIVO</w:t>
        </w:r>
        <w:r>
          <w:rPr>
            <w:webHidden/>
          </w:rPr>
          <w:tab/>
        </w:r>
        <w:r>
          <w:rPr>
            <w:webHidden/>
          </w:rPr>
          <w:fldChar w:fldCharType="begin"/>
        </w:r>
        <w:r>
          <w:rPr>
            <w:webHidden/>
          </w:rPr>
          <w:instrText xml:space="preserve"> PAGEREF _Toc239520982 \h </w:instrText>
        </w:r>
        <w:r>
          <w:rPr>
            <w:webHidden/>
          </w:rPr>
        </w:r>
        <w:r>
          <w:rPr>
            <w:webHidden/>
          </w:rPr>
          <w:fldChar w:fldCharType="separate"/>
        </w:r>
        <w:r>
          <w:rPr>
            <w:webHidden/>
          </w:rPr>
          <w:t>3</w:t>
        </w:r>
        <w:r>
          <w:rPr>
            <w:webHidden/>
          </w:rPr>
          <w:fldChar w:fldCharType="end"/>
        </w:r>
      </w:hyperlink>
    </w:p>
    <w:p w14:paraId="44F75AA9" w14:textId="46467A0B" w:rsidR="008838A5" w:rsidRDefault="008838A5">
      <w:pPr>
        <w:pStyle w:val="TDC1"/>
        <w:rPr>
          <w:rFonts w:asciiTheme="minorHAnsi" w:eastAsiaTheme="minorEastAsia" w:hAnsiTheme="minorHAnsi" w:cstheme="minorBidi"/>
          <w:kern w:val="2"/>
          <w:lang w:eastAsia="es-ES_tradnl"/>
          <w14:ligatures w14:val="standardContextual"/>
        </w:rPr>
      </w:pPr>
      <w:hyperlink w:anchor="_Toc239520983" w:history="1">
        <w:r w:rsidRPr="00250D46">
          <w:rPr>
            <w:rStyle w:val="Hipervnculo"/>
            <w:lang w:val="es-CO"/>
          </w:rPr>
          <w:t>2.</w:t>
        </w:r>
        <w:r>
          <w:rPr>
            <w:rFonts w:asciiTheme="minorHAnsi" w:eastAsiaTheme="minorEastAsia" w:hAnsiTheme="minorHAnsi" w:cstheme="minorBidi"/>
            <w:kern w:val="2"/>
            <w:lang w:eastAsia="es-ES_tradnl"/>
            <w14:ligatures w14:val="standardContextual"/>
          </w:rPr>
          <w:tab/>
        </w:r>
        <w:r w:rsidRPr="00250D46">
          <w:rPr>
            <w:rStyle w:val="Hipervnculo"/>
            <w:lang w:val="es-CO"/>
          </w:rPr>
          <w:t>ANTECEDENTES Y ALCANCE DE LA DETERMINACIÓN</w:t>
        </w:r>
        <w:r>
          <w:rPr>
            <w:webHidden/>
          </w:rPr>
          <w:tab/>
        </w:r>
        <w:r>
          <w:rPr>
            <w:webHidden/>
          </w:rPr>
          <w:fldChar w:fldCharType="begin"/>
        </w:r>
        <w:r>
          <w:rPr>
            <w:webHidden/>
          </w:rPr>
          <w:instrText xml:space="preserve"> PAGEREF _Toc239520983 \h </w:instrText>
        </w:r>
        <w:r>
          <w:rPr>
            <w:webHidden/>
          </w:rPr>
        </w:r>
        <w:r>
          <w:rPr>
            <w:webHidden/>
          </w:rPr>
          <w:fldChar w:fldCharType="separate"/>
        </w:r>
        <w:r>
          <w:rPr>
            <w:webHidden/>
          </w:rPr>
          <w:t>3</w:t>
        </w:r>
        <w:r>
          <w:rPr>
            <w:webHidden/>
          </w:rPr>
          <w:fldChar w:fldCharType="end"/>
        </w:r>
      </w:hyperlink>
    </w:p>
    <w:p w14:paraId="605DDF3B" w14:textId="52D80339" w:rsidR="008838A5" w:rsidRDefault="008838A5">
      <w:pPr>
        <w:pStyle w:val="TDC2"/>
        <w:rPr>
          <w:rFonts w:asciiTheme="minorHAnsi" w:eastAsiaTheme="minorEastAsia" w:hAnsiTheme="minorHAnsi" w:cstheme="minorBidi"/>
          <w:kern w:val="2"/>
          <w:lang w:eastAsia="es-ES_tradnl"/>
          <w14:ligatures w14:val="standardContextual"/>
        </w:rPr>
      </w:pPr>
      <w:hyperlink w:anchor="_Toc239520984" w:history="1">
        <w:r w:rsidRPr="00250D46">
          <w:rPr>
            <w:rStyle w:val="Hipervnculo"/>
            <w:lang w:val="es-CO"/>
          </w:rPr>
          <w:t>2.1</w:t>
        </w:r>
        <w:r>
          <w:rPr>
            <w:rFonts w:asciiTheme="minorHAnsi" w:eastAsiaTheme="minorEastAsia" w:hAnsiTheme="minorHAnsi" w:cstheme="minorBidi"/>
            <w:kern w:val="2"/>
            <w:lang w:eastAsia="es-ES_tradnl"/>
            <w14:ligatures w14:val="standardContextual"/>
          </w:rPr>
          <w:tab/>
        </w:r>
        <w:r w:rsidRPr="00250D46">
          <w:rPr>
            <w:rStyle w:val="Hipervnculo"/>
            <w:lang w:val="es-CO"/>
          </w:rPr>
          <w:t>Marco Normativo Aplicable</w:t>
        </w:r>
        <w:r>
          <w:rPr>
            <w:webHidden/>
          </w:rPr>
          <w:tab/>
        </w:r>
        <w:r>
          <w:rPr>
            <w:webHidden/>
          </w:rPr>
          <w:fldChar w:fldCharType="begin"/>
        </w:r>
        <w:r>
          <w:rPr>
            <w:webHidden/>
          </w:rPr>
          <w:instrText xml:space="preserve"> PAGEREF _Toc239520984 \h </w:instrText>
        </w:r>
        <w:r>
          <w:rPr>
            <w:webHidden/>
          </w:rPr>
        </w:r>
        <w:r>
          <w:rPr>
            <w:webHidden/>
          </w:rPr>
          <w:fldChar w:fldCharType="separate"/>
        </w:r>
        <w:r>
          <w:rPr>
            <w:webHidden/>
          </w:rPr>
          <w:t>3</w:t>
        </w:r>
        <w:r>
          <w:rPr>
            <w:webHidden/>
          </w:rPr>
          <w:fldChar w:fldCharType="end"/>
        </w:r>
      </w:hyperlink>
    </w:p>
    <w:p w14:paraId="0C49D279" w14:textId="61BE7976" w:rsidR="008838A5" w:rsidRDefault="008838A5">
      <w:pPr>
        <w:pStyle w:val="TDC2"/>
        <w:rPr>
          <w:rFonts w:asciiTheme="minorHAnsi" w:eastAsiaTheme="minorEastAsia" w:hAnsiTheme="minorHAnsi" w:cstheme="minorBidi"/>
          <w:kern w:val="2"/>
          <w:lang w:eastAsia="es-ES_tradnl"/>
          <w14:ligatures w14:val="standardContextual"/>
        </w:rPr>
      </w:pPr>
      <w:hyperlink w:anchor="_Toc239520985" w:history="1">
        <w:r w:rsidRPr="00250D46">
          <w:rPr>
            <w:rStyle w:val="Hipervnculo"/>
            <w:lang w:val="es-CO"/>
          </w:rPr>
          <w:t>2.2</w:t>
        </w:r>
        <w:r>
          <w:rPr>
            <w:rFonts w:asciiTheme="minorHAnsi" w:eastAsiaTheme="minorEastAsia" w:hAnsiTheme="minorHAnsi" w:cstheme="minorBidi"/>
            <w:kern w:val="2"/>
            <w:lang w:eastAsia="es-ES_tradnl"/>
            <w14:ligatures w14:val="standardContextual"/>
          </w:rPr>
          <w:tab/>
        </w:r>
        <w:r w:rsidRPr="00250D46">
          <w:rPr>
            <w:rStyle w:val="Hipervnculo"/>
            <w:lang w:val="es-CO"/>
          </w:rPr>
          <w:t>Propuestas Recibidas</w:t>
        </w:r>
        <w:r>
          <w:rPr>
            <w:webHidden/>
          </w:rPr>
          <w:tab/>
        </w:r>
        <w:r>
          <w:rPr>
            <w:webHidden/>
          </w:rPr>
          <w:fldChar w:fldCharType="begin"/>
        </w:r>
        <w:r>
          <w:rPr>
            <w:webHidden/>
          </w:rPr>
          <w:instrText xml:space="preserve"> PAGEREF _Toc239520985 \h </w:instrText>
        </w:r>
        <w:r>
          <w:rPr>
            <w:webHidden/>
          </w:rPr>
        </w:r>
        <w:r>
          <w:rPr>
            <w:webHidden/>
          </w:rPr>
          <w:fldChar w:fldCharType="separate"/>
        </w:r>
        <w:r>
          <w:rPr>
            <w:webHidden/>
          </w:rPr>
          <w:t>4</w:t>
        </w:r>
        <w:r>
          <w:rPr>
            <w:webHidden/>
          </w:rPr>
          <w:fldChar w:fldCharType="end"/>
        </w:r>
      </w:hyperlink>
    </w:p>
    <w:p w14:paraId="071C1EFD" w14:textId="23DE0895" w:rsidR="008838A5" w:rsidRDefault="008838A5">
      <w:pPr>
        <w:pStyle w:val="TDC1"/>
        <w:rPr>
          <w:rFonts w:asciiTheme="minorHAnsi" w:eastAsiaTheme="minorEastAsia" w:hAnsiTheme="minorHAnsi" w:cstheme="minorBidi"/>
          <w:kern w:val="2"/>
          <w:lang w:eastAsia="es-ES_tradnl"/>
          <w14:ligatures w14:val="standardContextual"/>
        </w:rPr>
      </w:pPr>
      <w:hyperlink w:anchor="_Toc239520986" w:history="1">
        <w:r w:rsidRPr="00250D46">
          <w:rPr>
            <w:rStyle w:val="Hipervnculo"/>
            <w:lang w:val="es-CO"/>
          </w:rPr>
          <w:t>3.</w:t>
        </w:r>
        <w:r>
          <w:rPr>
            <w:rFonts w:asciiTheme="minorHAnsi" w:eastAsiaTheme="minorEastAsia" w:hAnsiTheme="minorHAnsi" w:cstheme="minorBidi"/>
            <w:kern w:val="2"/>
            <w:lang w:eastAsia="es-ES_tradnl"/>
            <w14:ligatures w14:val="standardContextual"/>
          </w:rPr>
          <w:tab/>
        </w:r>
        <w:r w:rsidRPr="00250D46">
          <w:rPr>
            <w:rStyle w:val="Hipervnculo"/>
            <w:lang w:val="es-CO"/>
          </w:rPr>
          <w:t>PARÁMETROS PARA EL CÁLCULO DE LAS CURVAS ISO-GT</w:t>
        </w:r>
        <w:r>
          <w:rPr>
            <w:webHidden/>
          </w:rPr>
          <w:tab/>
        </w:r>
        <w:r>
          <w:rPr>
            <w:webHidden/>
          </w:rPr>
          <w:fldChar w:fldCharType="begin"/>
        </w:r>
        <w:r>
          <w:rPr>
            <w:webHidden/>
          </w:rPr>
          <w:instrText xml:space="preserve"> PAGEREF _Toc239520986 \h </w:instrText>
        </w:r>
        <w:r>
          <w:rPr>
            <w:webHidden/>
          </w:rPr>
        </w:r>
        <w:r>
          <w:rPr>
            <w:webHidden/>
          </w:rPr>
          <w:fldChar w:fldCharType="separate"/>
        </w:r>
        <w:r>
          <w:rPr>
            <w:webHidden/>
          </w:rPr>
          <w:t>4</w:t>
        </w:r>
        <w:r>
          <w:rPr>
            <w:webHidden/>
          </w:rPr>
          <w:fldChar w:fldCharType="end"/>
        </w:r>
      </w:hyperlink>
    </w:p>
    <w:p w14:paraId="5CDD77C5" w14:textId="3815541E" w:rsidR="008838A5" w:rsidRDefault="008838A5">
      <w:pPr>
        <w:pStyle w:val="TDC2"/>
        <w:rPr>
          <w:rFonts w:asciiTheme="minorHAnsi" w:eastAsiaTheme="minorEastAsia" w:hAnsiTheme="minorHAnsi" w:cstheme="minorBidi"/>
          <w:kern w:val="2"/>
          <w:lang w:eastAsia="es-ES_tradnl"/>
          <w14:ligatures w14:val="standardContextual"/>
        </w:rPr>
      </w:pPr>
      <w:hyperlink w:anchor="_Toc239520987" w:history="1">
        <w:r w:rsidRPr="00250D46">
          <w:rPr>
            <w:rStyle w:val="Hipervnculo"/>
            <w:lang w:val="es-CO"/>
          </w:rPr>
          <w:t>3.1</w:t>
        </w:r>
        <w:r>
          <w:rPr>
            <w:rFonts w:asciiTheme="minorHAnsi" w:eastAsiaTheme="minorEastAsia" w:hAnsiTheme="minorHAnsi" w:cstheme="minorBidi"/>
            <w:kern w:val="2"/>
            <w:lang w:eastAsia="es-ES_tradnl"/>
            <w14:ligatures w14:val="standardContextual"/>
          </w:rPr>
          <w:tab/>
        </w:r>
        <w:r w:rsidRPr="00250D46">
          <w:rPr>
            <w:rStyle w:val="Hipervnculo"/>
            <w:lang w:val="es-CO"/>
          </w:rPr>
          <w:t>Conformación del Embalse Parcial</w:t>
        </w:r>
        <w:r>
          <w:rPr>
            <w:webHidden/>
          </w:rPr>
          <w:tab/>
        </w:r>
        <w:r>
          <w:rPr>
            <w:webHidden/>
          </w:rPr>
          <w:fldChar w:fldCharType="begin"/>
        </w:r>
        <w:r>
          <w:rPr>
            <w:webHidden/>
          </w:rPr>
          <w:instrText xml:space="preserve"> PAGEREF _Toc239520987 \h </w:instrText>
        </w:r>
        <w:r>
          <w:rPr>
            <w:webHidden/>
          </w:rPr>
        </w:r>
        <w:r>
          <w:rPr>
            <w:webHidden/>
          </w:rPr>
          <w:fldChar w:fldCharType="separate"/>
        </w:r>
        <w:r>
          <w:rPr>
            <w:webHidden/>
          </w:rPr>
          <w:t>5</w:t>
        </w:r>
        <w:r>
          <w:rPr>
            <w:webHidden/>
          </w:rPr>
          <w:fldChar w:fldCharType="end"/>
        </w:r>
      </w:hyperlink>
    </w:p>
    <w:p w14:paraId="3748B2AF" w14:textId="771552A8" w:rsidR="008838A5" w:rsidRDefault="008838A5">
      <w:pPr>
        <w:pStyle w:val="TDC2"/>
        <w:rPr>
          <w:rFonts w:asciiTheme="minorHAnsi" w:eastAsiaTheme="minorEastAsia" w:hAnsiTheme="minorHAnsi" w:cstheme="minorBidi"/>
          <w:kern w:val="2"/>
          <w:lang w:eastAsia="es-ES_tradnl"/>
          <w14:ligatures w14:val="standardContextual"/>
        </w:rPr>
      </w:pPr>
      <w:hyperlink w:anchor="_Toc239520988" w:history="1">
        <w:r w:rsidRPr="00250D46">
          <w:rPr>
            <w:rStyle w:val="Hipervnculo"/>
            <w:lang w:val="es-CO"/>
          </w:rPr>
          <w:t>3.2</w:t>
        </w:r>
        <w:r>
          <w:rPr>
            <w:rFonts w:asciiTheme="minorHAnsi" w:eastAsiaTheme="minorEastAsia" w:hAnsiTheme="minorHAnsi" w:cstheme="minorBidi"/>
            <w:kern w:val="2"/>
            <w:lang w:eastAsia="es-ES_tradnl"/>
            <w14:ligatures w14:val="standardContextual"/>
          </w:rPr>
          <w:tab/>
        </w:r>
        <w:r w:rsidRPr="00250D46">
          <w:rPr>
            <w:rStyle w:val="Hipervnculo"/>
            <w:lang w:val="es-CO"/>
          </w:rPr>
          <w:t>Demanda Mensual de Energía</w:t>
        </w:r>
        <w:r>
          <w:rPr>
            <w:webHidden/>
          </w:rPr>
          <w:tab/>
        </w:r>
        <w:r>
          <w:rPr>
            <w:webHidden/>
          </w:rPr>
          <w:fldChar w:fldCharType="begin"/>
        </w:r>
        <w:r>
          <w:rPr>
            <w:webHidden/>
          </w:rPr>
          <w:instrText xml:space="preserve"> PAGEREF _Toc239520988 \h </w:instrText>
        </w:r>
        <w:r>
          <w:rPr>
            <w:webHidden/>
          </w:rPr>
        </w:r>
        <w:r>
          <w:rPr>
            <w:webHidden/>
          </w:rPr>
          <w:fldChar w:fldCharType="separate"/>
        </w:r>
        <w:r>
          <w:rPr>
            <w:webHidden/>
          </w:rPr>
          <w:t>5</w:t>
        </w:r>
        <w:r>
          <w:rPr>
            <w:webHidden/>
          </w:rPr>
          <w:fldChar w:fldCharType="end"/>
        </w:r>
      </w:hyperlink>
    </w:p>
    <w:p w14:paraId="7AFBAF8C" w14:textId="0D768FB8" w:rsidR="008838A5" w:rsidRDefault="008838A5">
      <w:pPr>
        <w:pStyle w:val="TDC2"/>
        <w:rPr>
          <w:rFonts w:asciiTheme="minorHAnsi" w:eastAsiaTheme="minorEastAsia" w:hAnsiTheme="minorHAnsi" w:cstheme="minorBidi"/>
          <w:kern w:val="2"/>
          <w:lang w:eastAsia="es-ES_tradnl"/>
          <w14:ligatures w14:val="standardContextual"/>
        </w:rPr>
      </w:pPr>
      <w:hyperlink w:anchor="_Toc239520989" w:history="1">
        <w:r w:rsidRPr="00250D46">
          <w:rPr>
            <w:rStyle w:val="Hipervnculo"/>
            <w:lang w:val="es-CO"/>
          </w:rPr>
          <w:t>3.3</w:t>
        </w:r>
        <w:r>
          <w:rPr>
            <w:rFonts w:asciiTheme="minorHAnsi" w:eastAsiaTheme="minorEastAsia" w:hAnsiTheme="minorHAnsi" w:cstheme="minorBidi"/>
            <w:kern w:val="2"/>
            <w:lang w:eastAsia="es-ES_tradnl"/>
            <w14:ligatures w14:val="standardContextual"/>
          </w:rPr>
          <w:tab/>
        </w:r>
        <w:r w:rsidRPr="00250D46">
          <w:rPr>
            <w:rStyle w:val="Hipervnculo"/>
            <w:lang w:val="es-CO"/>
          </w:rPr>
          <w:t>Serie Crítica de Aportes Hídricos</w:t>
        </w:r>
        <w:r>
          <w:rPr>
            <w:webHidden/>
          </w:rPr>
          <w:tab/>
        </w:r>
        <w:r>
          <w:rPr>
            <w:webHidden/>
          </w:rPr>
          <w:fldChar w:fldCharType="begin"/>
        </w:r>
        <w:r>
          <w:rPr>
            <w:webHidden/>
          </w:rPr>
          <w:instrText xml:space="preserve"> PAGEREF _Toc239520989 \h </w:instrText>
        </w:r>
        <w:r>
          <w:rPr>
            <w:webHidden/>
          </w:rPr>
        </w:r>
        <w:r>
          <w:rPr>
            <w:webHidden/>
          </w:rPr>
          <w:fldChar w:fldCharType="separate"/>
        </w:r>
        <w:r>
          <w:rPr>
            <w:webHidden/>
          </w:rPr>
          <w:t>5</w:t>
        </w:r>
        <w:r>
          <w:rPr>
            <w:webHidden/>
          </w:rPr>
          <w:fldChar w:fldCharType="end"/>
        </w:r>
      </w:hyperlink>
    </w:p>
    <w:p w14:paraId="248A951B" w14:textId="4076D18D" w:rsidR="008838A5" w:rsidRDefault="008838A5">
      <w:pPr>
        <w:pStyle w:val="TDC2"/>
        <w:rPr>
          <w:rFonts w:asciiTheme="minorHAnsi" w:eastAsiaTheme="minorEastAsia" w:hAnsiTheme="minorHAnsi" w:cstheme="minorBidi"/>
          <w:kern w:val="2"/>
          <w:lang w:eastAsia="es-ES_tradnl"/>
          <w14:ligatures w14:val="standardContextual"/>
        </w:rPr>
      </w:pPr>
      <w:hyperlink w:anchor="_Toc239520990" w:history="1">
        <w:r w:rsidRPr="00250D46">
          <w:rPr>
            <w:rStyle w:val="Hipervnculo"/>
            <w:lang w:val="es-CO"/>
          </w:rPr>
          <w:t>3.4</w:t>
        </w:r>
        <w:r>
          <w:rPr>
            <w:rFonts w:asciiTheme="minorHAnsi" w:eastAsiaTheme="minorEastAsia" w:hAnsiTheme="minorHAnsi" w:cstheme="minorBidi"/>
            <w:kern w:val="2"/>
            <w:lang w:eastAsia="es-ES_tradnl"/>
            <w14:ligatures w14:val="standardContextual"/>
          </w:rPr>
          <w:tab/>
        </w:r>
        <w:r w:rsidRPr="00250D46">
          <w:rPr>
            <w:rStyle w:val="Hipervnculo"/>
            <w:lang w:val="es-CO"/>
          </w:rPr>
          <w:t>Escalones de Generación Térmica Objetivo</w:t>
        </w:r>
        <w:r>
          <w:rPr>
            <w:webHidden/>
          </w:rPr>
          <w:tab/>
        </w:r>
        <w:r>
          <w:rPr>
            <w:webHidden/>
          </w:rPr>
          <w:fldChar w:fldCharType="begin"/>
        </w:r>
        <w:r>
          <w:rPr>
            <w:webHidden/>
          </w:rPr>
          <w:instrText xml:space="preserve"> PAGEREF _Toc239520990 \h </w:instrText>
        </w:r>
        <w:r>
          <w:rPr>
            <w:webHidden/>
          </w:rPr>
        </w:r>
        <w:r>
          <w:rPr>
            <w:webHidden/>
          </w:rPr>
          <w:fldChar w:fldCharType="separate"/>
        </w:r>
        <w:r>
          <w:rPr>
            <w:webHidden/>
          </w:rPr>
          <w:t>6</w:t>
        </w:r>
        <w:r>
          <w:rPr>
            <w:webHidden/>
          </w:rPr>
          <w:fldChar w:fldCharType="end"/>
        </w:r>
      </w:hyperlink>
    </w:p>
    <w:p w14:paraId="73870166" w14:textId="480F4AAA" w:rsidR="008838A5" w:rsidRDefault="008838A5">
      <w:pPr>
        <w:pStyle w:val="TDC2"/>
        <w:rPr>
          <w:rFonts w:asciiTheme="minorHAnsi" w:eastAsiaTheme="minorEastAsia" w:hAnsiTheme="minorHAnsi" w:cstheme="minorBidi"/>
          <w:kern w:val="2"/>
          <w:lang w:eastAsia="es-ES_tradnl"/>
          <w14:ligatures w14:val="standardContextual"/>
        </w:rPr>
      </w:pPr>
      <w:hyperlink w:anchor="_Toc239520991" w:history="1">
        <w:r w:rsidRPr="00250D46">
          <w:rPr>
            <w:rStyle w:val="Hipervnculo"/>
            <w:lang w:val="es-CO"/>
          </w:rPr>
          <w:t>3.5</w:t>
        </w:r>
        <w:r>
          <w:rPr>
            <w:rFonts w:asciiTheme="minorHAnsi" w:eastAsiaTheme="minorEastAsia" w:hAnsiTheme="minorHAnsi" w:cstheme="minorBidi"/>
            <w:kern w:val="2"/>
            <w:lang w:eastAsia="es-ES_tradnl"/>
            <w14:ligatures w14:val="standardContextual"/>
          </w:rPr>
          <w:tab/>
        </w:r>
        <w:r w:rsidRPr="00250D46">
          <w:rPr>
            <w:rStyle w:val="Hipervnculo"/>
            <w:lang w:val="es-CO"/>
          </w:rPr>
          <w:t>Generación Modelada con la ENFICC: Sistema de Bogotá y Plantas Filo de Agua</w:t>
        </w:r>
        <w:r>
          <w:rPr>
            <w:webHidden/>
          </w:rPr>
          <w:tab/>
        </w:r>
        <w:r>
          <w:rPr>
            <w:webHidden/>
          </w:rPr>
          <w:fldChar w:fldCharType="begin"/>
        </w:r>
        <w:r>
          <w:rPr>
            <w:webHidden/>
          </w:rPr>
          <w:instrText xml:space="preserve"> PAGEREF _Toc239520991 \h </w:instrText>
        </w:r>
        <w:r>
          <w:rPr>
            <w:webHidden/>
          </w:rPr>
        </w:r>
        <w:r>
          <w:rPr>
            <w:webHidden/>
          </w:rPr>
          <w:fldChar w:fldCharType="separate"/>
        </w:r>
        <w:r>
          <w:rPr>
            <w:webHidden/>
          </w:rPr>
          <w:t>7</w:t>
        </w:r>
        <w:r>
          <w:rPr>
            <w:webHidden/>
          </w:rPr>
          <w:fldChar w:fldCharType="end"/>
        </w:r>
      </w:hyperlink>
    </w:p>
    <w:p w14:paraId="1D4DA908" w14:textId="3A41B48F" w:rsidR="008838A5" w:rsidRDefault="008838A5">
      <w:pPr>
        <w:pStyle w:val="TDC2"/>
        <w:rPr>
          <w:rFonts w:asciiTheme="minorHAnsi" w:eastAsiaTheme="minorEastAsia" w:hAnsiTheme="minorHAnsi" w:cstheme="minorBidi"/>
          <w:kern w:val="2"/>
          <w:lang w:eastAsia="es-ES_tradnl"/>
          <w14:ligatures w14:val="standardContextual"/>
        </w:rPr>
      </w:pPr>
      <w:hyperlink w:anchor="_Toc239520992" w:history="1">
        <w:r w:rsidRPr="00250D46">
          <w:rPr>
            <w:rStyle w:val="Hipervnculo"/>
            <w:lang w:val="es-CO"/>
          </w:rPr>
          <w:t>3.6</w:t>
        </w:r>
        <w:r>
          <w:rPr>
            <w:rFonts w:asciiTheme="minorHAnsi" w:eastAsiaTheme="minorEastAsia" w:hAnsiTheme="minorHAnsi" w:cstheme="minorBidi"/>
            <w:kern w:val="2"/>
            <w:lang w:eastAsia="es-ES_tradnl"/>
            <w14:ligatures w14:val="standardContextual"/>
          </w:rPr>
          <w:tab/>
        </w:r>
        <w:r w:rsidRPr="00250D46">
          <w:rPr>
            <w:rStyle w:val="Hipervnculo"/>
            <w:lang w:val="es-CO"/>
          </w:rPr>
          <w:t>Generación de Plantas No Despachadas Centralmente</w:t>
        </w:r>
        <w:r>
          <w:rPr>
            <w:webHidden/>
          </w:rPr>
          <w:tab/>
        </w:r>
        <w:r>
          <w:rPr>
            <w:webHidden/>
          </w:rPr>
          <w:fldChar w:fldCharType="begin"/>
        </w:r>
        <w:r>
          <w:rPr>
            <w:webHidden/>
          </w:rPr>
          <w:instrText xml:space="preserve"> PAGEREF _Toc239520992 \h </w:instrText>
        </w:r>
        <w:r>
          <w:rPr>
            <w:webHidden/>
          </w:rPr>
        </w:r>
        <w:r>
          <w:rPr>
            <w:webHidden/>
          </w:rPr>
          <w:fldChar w:fldCharType="separate"/>
        </w:r>
        <w:r>
          <w:rPr>
            <w:webHidden/>
          </w:rPr>
          <w:t>8</w:t>
        </w:r>
        <w:r>
          <w:rPr>
            <w:webHidden/>
          </w:rPr>
          <w:fldChar w:fldCharType="end"/>
        </w:r>
      </w:hyperlink>
    </w:p>
    <w:p w14:paraId="475A5EDD" w14:textId="17CB9FC2" w:rsidR="008838A5" w:rsidRDefault="008838A5">
      <w:pPr>
        <w:pStyle w:val="TDC2"/>
        <w:rPr>
          <w:rFonts w:asciiTheme="minorHAnsi" w:eastAsiaTheme="minorEastAsia" w:hAnsiTheme="minorHAnsi" w:cstheme="minorBidi"/>
          <w:kern w:val="2"/>
          <w:lang w:eastAsia="es-ES_tradnl"/>
          <w14:ligatures w14:val="standardContextual"/>
        </w:rPr>
      </w:pPr>
      <w:hyperlink w:anchor="_Toc239520993" w:history="1">
        <w:r w:rsidRPr="00250D46">
          <w:rPr>
            <w:rStyle w:val="Hipervnculo"/>
            <w:lang w:val="es-CO"/>
          </w:rPr>
          <w:t>3.7</w:t>
        </w:r>
        <w:r>
          <w:rPr>
            <w:rFonts w:asciiTheme="minorHAnsi" w:eastAsiaTheme="minorEastAsia" w:hAnsiTheme="minorHAnsi" w:cstheme="minorBidi"/>
            <w:kern w:val="2"/>
            <w:lang w:eastAsia="es-ES_tradnl"/>
            <w14:ligatures w14:val="standardContextual"/>
          </w:rPr>
          <w:tab/>
        </w:r>
        <w:r w:rsidRPr="00250D46">
          <w:rPr>
            <w:rStyle w:val="Hipervnculo"/>
            <w:lang w:val="es-CO"/>
          </w:rPr>
          <w:t>Desbalance Hídrico y Vertimientos</w:t>
        </w:r>
        <w:r>
          <w:rPr>
            <w:webHidden/>
          </w:rPr>
          <w:tab/>
        </w:r>
        <w:r>
          <w:rPr>
            <w:webHidden/>
          </w:rPr>
          <w:fldChar w:fldCharType="begin"/>
        </w:r>
        <w:r>
          <w:rPr>
            <w:webHidden/>
          </w:rPr>
          <w:instrText xml:space="preserve"> PAGEREF _Toc239520993 \h </w:instrText>
        </w:r>
        <w:r>
          <w:rPr>
            <w:webHidden/>
          </w:rPr>
        </w:r>
        <w:r>
          <w:rPr>
            <w:webHidden/>
          </w:rPr>
          <w:fldChar w:fldCharType="separate"/>
        </w:r>
        <w:r>
          <w:rPr>
            <w:webHidden/>
          </w:rPr>
          <w:t>8</w:t>
        </w:r>
        <w:r>
          <w:rPr>
            <w:webHidden/>
          </w:rPr>
          <w:fldChar w:fldCharType="end"/>
        </w:r>
      </w:hyperlink>
    </w:p>
    <w:p w14:paraId="70F61EA5" w14:textId="5120E756" w:rsidR="008838A5" w:rsidRDefault="008838A5">
      <w:pPr>
        <w:pStyle w:val="TDC2"/>
        <w:rPr>
          <w:rFonts w:asciiTheme="minorHAnsi" w:eastAsiaTheme="minorEastAsia" w:hAnsiTheme="minorHAnsi" w:cstheme="minorBidi"/>
          <w:kern w:val="2"/>
          <w:lang w:eastAsia="es-ES_tradnl"/>
          <w14:ligatures w14:val="standardContextual"/>
        </w:rPr>
      </w:pPr>
      <w:hyperlink w:anchor="_Toc239520994" w:history="1">
        <w:r w:rsidRPr="00250D46">
          <w:rPr>
            <w:rStyle w:val="Hipervnculo"/>
            <w:lang w:val="es-CO"/>
          </w:rPr>
          <w:t>3.8</w:t>
        </w:r>
        <w:r>
          <w:rPr>
            <w:rFonts w:asciiTheme="minorHAnsi" w:eastAsiaTheme="minorEastAsia" w:hAnsiTheme="minorHAnsi" w:cstheme="minorBidi"/>
            <w:kern w:val="2"/>
            <w:lang w:eastAsia="es-ES_tradnl"/>
            <w14:ligatures w14:val="standardContextual"/>
          </w:rPr>
          <w:tab/>
        </w:r>
        <w:r w:rsidRPr="00250D46">
          <w:rPr>
            <w:rStyle w:val="Hipervnculo"/>
            <w:lang w:val="es-CO"/>
          </w:rPr>
          <w:t>Nivel %V del Embalse al Final del Verano</w:t>
        </w:r>
        <w:r>
          <w:rPr>
            <w:webHidden/>
          </w:rPr>
          <w:tab/>
        </w:r>
        <w:r>
          <w:rPr>
            <w:webHidden/>
          </w:rPr>
          <w:fldChar w:fldCharType="begin"/>
        </w:r>
        <w:r>
          <w:rPr>
            <w:webHidden/>
          </w:rPr>
          <w:instrText xml:space="preserve"> PAGEREF _Toc239520994 \h </w:instrText>
        </w:r>
        <w:r>
          <w:rPr>
            <w:webHidden/>
          </w:rPr>
        </w:r>
        <w:r>
          <w:rPr>
            <w:webHidden/>
          </w:rPr>
          <w:fldChar w:fldCharType="separate"/>
        </w:r>
        <w:r>
          <w:rPr>
            <w:webHidden/>
          </w:rPr>
          <w:t>9</w:t>
        </w:r>
        <w:r>
          <w:rPr>
            <w:webHidden/>
          </w:rPr>
          <w:fldChar w:fldCharType="end"/>
        </w:r>
      </w:hyperlink>
    </w:p>
    <w:p w14:paraId="2D02A265" w14:textId="1ED49CE7" w:rsidR="008838A5" w:rsidRDefault="008838A5">
      <w:pPr>
        <w:pStyle w:val="TDC2"/>
        <w:rPr>
          <w:rFonts w:asciiTheme="minorHAnsi" w:eastAsiaTheme="minorEastAsia" w:hAnsiTheme="minorHAnsi" w:cstheme="minorBidi"/>
          <w:kern w:val="2"/>
          <w:lang w:eastAsia="es-ES_tradnl"/>
          <w14:ligatures w14:val="standardContextual"/>
        </w:rPr>
      </w:pPr>
      <w:hyperlink w:anchor="_Toc239520995" w:history="1">
        <w:r w:rsidRPr="00250D46">
          <w:rPr>
            <w:rStyle w:val="Hipervnculo"/>
            <w:lang w:val="es-CO"/>
          </w:rPr>
          <w:t>3.9</w:t>
        </w:r>
        <w:r>
          <w:rPr>
            <w:rFonts w:asciiTheme="minorHAnsi" w:eastAsiaTheme="minorEastAsia" w:hAnsiTheme="minorHAnsi" w:cstheme="minorBidi"/>
            <w:kern w:val="2"/>
            <w:lang w:eastAsia="es-ES_tradnl"/>
            <w14:ligatures w14:val="standardContextual"/>
          </w:rPr>
          <w:tab/>
        </w:r>
        <w:r w:rsidRPr="00250D46">
          <w:rPr>
            <w:rStyle w:val="Hipervnculo"/>
            <w:lang w:val="es-CO"/>
          </w:rPr>
          <w:t>Umbral ISO-Térmica</w:t>
        </w:r>
        <w:r>
          <w:rPr>
            <w:webHidden/>
          </w:rPr>
          <w:tab/>
        </w:r>
        <w:r>
          <w:rPr>
            <w:webHidden/>
          </w:rPr>
          <w:fldChar w:fldCharType="begin"/>
        </w:r>
        <w:r>
          <w:rPr>
            <w:webHidden/>
          </w:rPr>
          <w:instrText xml:space="preserve"> PAGEREF _Toc239520995 \h </w:instrText>
        </w:r>
        <w:r>
          <w:rPr>
            <w:webHidden/>
          </w:rPr>
        </w:r>
        <w:r>
          <w:rPr>
            <w:webHidden/>
          </w:rPr>
          <w:fldChar w:fldCharType="separate"/>
        </w:r>
        <w:r>
          <w:rPr>
            <w:webHidden/>
          </w:rPr>
          <w:t>9</w:t>
        </w:r>
        <w:r>
          <w:rPr>
            <w:webHidden/>
          </w:rPr>
          <w:fldChar w:fldCharType="end"/>
        </w:r>
      </w:hyperlink>
    </w:p>
    <w:p w14:paraId="591CB94F" w14:textId="13CE41F3" w:rsidR="008838A5" w:rsidRDefault="008838A5">
      <w:pPr>
        <w:pStyle w:val="TDC1"/>
        <w:rPr>
          <w:rFonts w:asciiTheme="minorHAnsi" w:eastAsiaTheme="minorEastAsia" w:hAnsiTheme="minorHAnsi" w:cstheme="minorBidi"/>
          <w:kern w:val="2"/>
          <w:lang w:eastAsia="es-ES_tradnl"/>
          <w14:ligatures w14:val="standardContextual"/>
        </w:rPr>
      </w:pPr>
      <w:hyperlink w:anchor="_Toc239520996" w:history="1">
        <w:r w:rsidRPr="00250D46">
          <w:rPr>
            <w:rStyle w:val="Hipervnculo"/>
            <w:rFonts w:cs="Arial"/>
            <w:lang w:val="es-CO"/>
          </w:rPr>
          <w:t>4.</w:t>
        </w:r>
        <w:r>
          <w:rPr>
            <w:rFonts w:asciiTheme="minorHAnsi" w:eastAsiaTheme="minorEastAsia" w:hAnsiTheme="minorHAnsi" w:cstheme="minorBidi"/>
            <w:kern w:val="2"/>
            <w:lang w:eastAsia="es-ES_tradnl"/>
            <w14:ligatures w14:val="standardContextual"/>
          </w:rPr>
          <w:tab/>
        </w:r>
        <w:r w:rsidRPr="00250D46">
          <w:rPr>
            <w:rStyle w:val="Hipervnculo"/>
            <w:rFonts w:cs="Arial"/>
            <w:lang w:val="es-CO"/>
          </w:rPr>
          <w:t>PARÁMETRO X% DE LA CURVA DE REFERENCIA DE OFERTA DE PRECIO HIDRÁULICA</w:t>
        </w:r>
        <w:r>
          <w:rPr>
            <w:webHidden/>
          </w:rPr>
          <w:tab/>
        </w:r>
        <w:r>
          <w:rPr>
            <w:webHidden/>
          </w:rPr>
          <w:fldChar w:fldCharType="begin"/>
        </w:r>
        <w:r>
          <w:rPr>
            <w:webHidden/>
          </w:rPr>
          <w:instrText xml:space="preserve"> PAGEREF _Toc239520996 \h </w:instrText>
        </w:r>
        <w:r>
          <w:rPr>
            <w:webHidden/>
          </w:rPr>
        </w:r>
        <w:r>
          <w:rPr>
            <w:webHidden/>
          </w:rPr>
          <w:fldChar w:fldCharType="separate"/>
        </w:r>
        <w:r>
          <w:rPr>
            <w:webHidden/>
          </w:rPr>
          <w:t>12</w:t>
        </w:r>
        <w:r>
          <w:rPr>
            <w:webHidden/>
          </w:rPr>
          <w:fldChar w:fldCharType="end"/>
        </w:r>
      </w:hyperlink>
    </w:p>
    <w:p w14:paraId="3DFDE384" w14:textId="19798190" w:rsidR="008838A5" w:rsidRDefault="008838A5">
      <w:pPr>
        <w:pStyle w:val="TDC2"/>
        <w:rPr>
          <w:rFonts w:asciiTheme="minorHAnsi" w:eastAsiaTheme="minorEastAsia" w:hAnsiTheme="minorHAnsi" w:cstheme="minorBidi"/>
          <w:kern w:val="2"/>
          <w:lang w:eastAsia="es-ES_tradnl"/>
          <w14:ligatures w14:val="standardContextual"/>
        </w:rPr>
      </w:pPr>
      <w:hyperlink w:anchor="_Toc239520997" w:history="1">
        <w:r w:rsidRPr="00250D46">
          <w:rPr>
            <w:rStyle w:val="Hipervnculo"/>
            <w:rFonts w:cs="Arial"/>
            <w:lang w:val="es-CO"/>
          </w:rPr>
          <w:t>4.1</w:t>
        </w:r>
        <w:r>
          <w:rPr>
            <w:rFonts w:asciiTheme="minorHAnsi" w:eastAsiaTheme="minorEastAsia" w:hAnsiTheme="minorHAnsi" w:cstheme="minorBidi"/>
            <w:kern w:val="2"/>
            <w:lang w:eastAsia="es-ES_tradnl"/>
            <w14:ligatures w14:val="standardContextual"/>
          </w:rPr>
          <w:tab/>
        </w:r>
        <w:r w:rsidRPr="00250D46">
          <w:rPr>
            <w:rStyle w:val="Hipervnculo"/>
            <w:rFonts w:cs="Arial"/>
            <w:lang w:val="es-CO"/>
          </w:rPr>
          <w:t>Impacto</w:t>
        </w:r>
        <w:r>
          <w:rPr>
            <w:webHidden/>
          </w:rPr>
          <w:tab/>
        </w:r>
        <w:r>
          <w:rPr>
            <w:webHidden/>
          </w:rPr>
          <w:fldChar w:fldCharType="begin"/>
        </w:r>
        <w:r>
          <w:rPr>
            <w:webHidden/>
          </w:rPr>
          <w:instrText xml:space="preserve"> PAGEREF _Toc239520997 \h </w:instrText>
        </w:r>
        <w:r>
          <w:rPr>
            <w:webHidden/>
          </w:rPr>
        </w:r>
        <w:r>
          <w:rPr>
            <w:webHidden/>
          </w:rPr>
          <w:fldChar w:fldCharType="separate"/>
        </w:r>
        <w:r>
          <w:rPr>
            <w:webHidden/>
          </w:rPr>
          <w:t>12</w:t>
        </w:r>
        <w:r>
          <w:rPr>
            <w:webHidden/>
          </w:rPr>
          <w:fldChar w:fldCharType="end"/>
        </w:r>
      </w:hyperlink>
    </w:p>
    <w:p w14:paraId="500E144C" w14:textId="01C91FAE" w:rsidR="008838A5" w:rsidRDefault="008838A5">
      <w:pPr>
        <w:pStyle w:val="TDC1"/>
        <w:rPr>
          <w:rFonts w:asciiTheme="minorHAnsi" w:eastAsiaTheme="minorEastAsia" w:hAnsiTheme="minorHAnsi" w:cstheme="minorBidi"/>
          <w:kern w:val="2"/>
          <w:lang w:eastAsia="es-ES_tradnl"/>
          <w14:ligatures w14:val="standardContextual"/>
        </w:rPr>
      </w:pPr>
      <w:hyperlink w:anchor="_Toc239520998" w:history="1">
        <w:r w:rsidRPr="00250D46">
          <w:rPr>
            <w:rStyle w:val="Hipervnculo"/>
            <w:lang w:val="es-CO"/>
          </w:rPr>
          <w:t>5.</w:t>
        </w:r>
        <w:r>
          <w:rPr>
            <w:rFonts w:asciiTheme="minorHAnsi" w:eastAsiaTheme="minorEastAsia" w:hAnsiTheme="minorHAnsi" w:cstheme="minorBidi"/>
            <w:kern w:val="2"/>
            <w:lang w:eastAsia="es-ES_tradnl"/>
            <w14:ligatures w14:val="standardContextual"/>
          </w:rPr>
          <w:tab/>
        </w:r>
        <w:r w:rsidRPr="00250D46">
          <w:rPr>
            <w:rStyle w:val="Hipervnculo"/>
            <w:lang w:val="es-CO"/>
          </w:rPr>
          <w:t>RESUMEN</w:t>
        </w:r>
        <w:r>
          <w:rPr>
            <w:webHidden/>
          </w:rPr>
          <w:tab/>
        </w:r>
        <w:r>
          <w:rPr>
            <w:webHidden/>
          </w:rPr>
          <w:fldChar w:fldCharType="begin"/>
        </w:r>
        <w:r>
          <w:rPr>
            <w:webHidden/>
          </w:rPr>
          <w:instrText xml:space="preserve"> PAGEREF _Toc239520998 \h </w:instrText>
        </w:r>
        <w:r>
          <w:rPr>
            <w:webHidden/>
          </w:rPr>
        </w:r>
        <w:r>
          <w:rPr>
            <w:webHidden/>
          </w:rPr>
          <w:fldChar w:fldCharType="separate"/>
        </w:r>
        <w:r>
          <w:rPr>
            <w:webHidden/>
          </w:rPr>
          <w:t>16</w:t>
        </w:r>
        <w:r>
          <w:rPr>
            <w:webHidden/>
          </w:rPr>
          <w:fldChar w:fldCharType="end"/>
        </w:r>
      </w:hyperlink>
    </w:p>
    <w:p w14:paraId="175BD3DA" w14:textId="472D7D2D" w:rsidR="008838A5" w:rsidRPr="001A33B4" w:rsidRDefault="008838A5" w:rsidP="008838A5">
      <w:pPr>
        <w:pStyle w:val="TDC1"/>
        <w:rPr>
          <w:rFonts w:cs="Arial"/>
          <w:sz w:val="22"/>
        </w:rPr>
      </w:pPr>
      <w:r>
        <w:rPr>
          <w:rFonts w:cs="Arial"/>
          <w:sz w:val="22"/>
        </w:rPr>
        <w:fldChar w:fldCharType="end"/>
      </w:r>
    </w:p>
    <w:p w14:paraId="38DB1329" w14:textId="77777777" w:rsidR="008838A5" w:rsidRDefault="008838A5" w:rsidP="008838A5">
      <w:pPr>
        <w:pStyle w:val="Ttulo"/>
        <w:rPr>
          <w:szCs w:val="24"/>
          <w:lang w:val="es-CO"/>
        </w:rPr>
      </w:pPr>
      <w:r>
        <w:rPr>
          <w:szCs w:val="24"/>
          <w:lang w:val="es-CO"/>
        </w:rPr>
        <w:br w:type="page"/>
      </w:r>
    </w:p>
    <w:p w14:paraId="477AD1E1" w14:textId="77777777" w:rsidR="008838A5" w:rsidRDefault="008838A5" w:rsidP="008838A5">
      <w:pPr>
        <w:pStyle w:val="Ttulo"/>
        <w:rPr>
          <w:szCs w:val="24"/>
          <w:lang w:val="es-CO"/>
        </w:rPr>
      </w:pPr>
      <w:r>
        <w:rPr>
          <w:szCs w:val="24"/>
          <w:lang w:val="es-CO"/>
        </w:rPr>
        <w:lastRenderedPageBreak/>
        <w:t>DETERMINACIÓN DE LOS PARÁMETROS Y VARIABLES PARA EL CÁLCULO DE LAS CURVAS ISO-GT Y DEL PARÁMETRO X% DE LA CURVA DE REFERENCIA DE OFERTA DE PRECIO HIDRÁULICA</w:t>
      </w:r>
    </w:p>
    <w:p w14:paraId="4DD2713D" w14:textId="77777777" w:rsidR="008838A5" w:rsidRDefault="008838A5" w:rsidP="008838A5">
      <w:pPr>
        <w:spacing w:after="160"/>
        <w:rPr>
          <w:sz w:val="22"/>
          <w:szCs w:val="22"/>
          <w:lang w:val="es-CO"/>
        </w:rPr>
      </w:pPr>
    </w:p>
    <w:p w14:paraId="1D4F1C76" w14:textId="77777777" w:rsidR="008838A5" w:rsidRDefault="008838A5" w:rsidP="008838A5">
      <w:pPr>
        <w:pStyle w:val="Ttulo1"/>
        <w:rPr>
          <w:rFonts w:cs="Arial"/>
          <w:lang w:val="es-CO"/>
        </w:rPr>
      </w:pPr>
      <w:bookmarkStart w:id="2" w:name="_Toc239520982"/>
      <w:r w:rsidRPr="0092236D">
        <w:rPr>
          <w:rFonts w:cs="Arial"/>
          <w:lang w:val="es-CO"/>
        </w:rPr>
        <w:t>OBJETIVO</w:t>
      </w:r>
      <w:bookmarkEnd w:id="2"/>
    </w:p>
    <w:p w14:paraId="7F039289" w14:textId="77777777" w:rsidR="008838A5" w:rsidRDefault="008838A5" w:rsidP="008838A5">
      <w:pPr>
        <w:rPr>
          <w:rFonts w:cs="Arial"/>
          <w:sz w:val="22"/>
        </w:rPr>
      </w:pPr>
      <w:r w:rsidRPr="0092236D">
        <w:rPr>
          <w:rFonts w:cs="Arial"/>
          <w:sz w:val="22"/>
        </w:rPr>
        <w:t>El presente documento expone el análisis y la fundamentación con los cuales la Comisión determina los parámetros y las variables de entrada requeridos para el cálculo de las curvas ISO-GT, en los términos del literal b. del artículo 8 de la Resolución CREG 101 127 de 2026, así como el porcentaje (X%) del volumen útil del embalse asociado al segundo punto de la curva de referencia para las ofertas de precio de las plantas hidráulicas con regulación de embalse mayor a un día, previsto en el parágrafo 1 del artículo 11 de la misma resolución. La determinación se orienta por dos objetivos que la regulación persigue de manera simultánea: preservar un margen de seguridad y confiabilidad en el abastecimiento durante la temporada de verano, en un horizonte marcado por el fenómeno de El Niño; y salvaguardar la sostenibilidad financiera del mercado de energía mayorista (MEM), evitando que la señal de precio derivada del mecanismo induzca un riesgo sistémico. Estos dos criterios —confiabilidad y sostenibilidad— articulan, respectivamente, la definición del umbral ISO-térmica y la del parámetro X%, que constituyen las dos variables de mayor impacto de la presente determinación.</w:t>
      </w:r>
    </w:p>
    <w:p w14:paraId="47199066" w14:textId="77777777" w:rsidR="008838A5" w:rsidRDefault="008838A5" w:rsidP="008838A5">
      <w:pPr>
        <w:rPr>
          <w:rFonts w:cs="Arial"/>
          <w:sz w:val="22"/>
        </w:rPr>
      </w:pPr>
      <w:r w:rsidRPr="0092236D">
        <w:rPr>
          <w:rFonts w:cs="Arial"/>
          <w:sz w:val="22"/>
        </w:rPr>
        <w:t>La determinación que aquí se sustenta se comunica mediante circular de la Dirección Ejecutiva y constituye el insumo con el cual el Centro Nacional de Despacho (CND) calculará y publicará las curvas ISO-GT del período hidrológico comprendido entre el mes de publicación de la resolución en el Diario Oficial y abril de 2027.</w:t>
      </w:r>
    </w:p>
    <w:p w14:paraId="3AC571D8" w14:textId="77777777" w:rsidR="008838A5" w:rsidRPr="0092236D" w:rsidRDefault="008838A5" w:rsidP="008838A5">
      <w:pPr>
        <w:rPr>
          <w:rFonts w:cs="Arial"/>
          <w:sz w:val="22"/>
        </w:rPr>
      </w:pPr>
      <w:r w:rsidRPr="0092236D">
        <w:rPr>
          <w:rFonts w:cs="Arial"/>
          <w:sz w:val="22"/>
        </w:rPr>
        <w:t>Este documento no reproduce los valores numéricos contenidos en las propuestas recibidas. Se concentra en los criterios con los cuales la Comisión evalúa cada variable de entrada, en las razones por las cuales acoge la propuesta del CND y del Consejo Nacional de Operación (CNO) en la generalidad de los insumos y en la fundamentación de los dos aspectos puntuales en los que se aparta de ella. Los valores determinados se consignan en la circular de la Dirección Ejecutiva.</w:t>
      </w:r>
    </w:p>
    <w:p w14:paraId="43AD4EAD" w14:textId="77777777" w:rsidR="008838A5" w:rsidRDefault="008838A5" w:rsidP="008838A5">
      <w:pPr>
        <w:pStyle w:val="Ttulo1"/>
        <w:spacing w:before="360"/>
        <w:rPr>
          <w:szCs w:val="24"/>
          <w:lang w:val="es-CO"/>
        </w:rPr>
      </w:pPr>
      <w:bookmarkStart w:id="3" w:name="_Toc239520983"/>
      <w:r>
        <w:rPr>
          <w:szCs w:val="24"/>
          <w:lang w:val="es-CO"/>
        </w:rPr>
        <w:t>ANTECEDENTES Y ALCANCE DE LA DETERMINACIÓN</w:t>
      </w:r>
      <w:bookmarkEnd w:id="3"/>
    </w:p>
    <w:p w14:paraId="6AB00934" w14:textId="77777777" w:rsidR="008838A5" w:rsidRDefault="008838A5" w:rsidP="008838A5">
      <w:pPr>
        <w:pStyle w:val="Ttulo2"/>
        <w:spacing w:before="280" w:after="200"/>
        <w:rPr>
          <w:sz w:val="22"/>
          <w:szCs w:val="22"/>
          <w:lang w:val="es-CO"/>
        </w:rPr>
      </w:pPr>
      <w:bookmarkStart w:id="4" w:name="_Toc239520984"/>
      <w:r>
        <w:rPr>
          <w:sz w:val="22"/>
          <w:szCs w:val="22"/>
          <w:lang w:val="es-CO"/>
        </w:rPr>
        <w:t>Marco Normativo Aplicable</w:t>
      </w:r>
      <w:bookmarkEnd w:id="4"/>
    </w:p>
    <w:p w14:paraId="7E5DFF3B" w14:textId="77777777" w:rsidR="008838A5" w:rsidRDefault="008838A5" w:rsidP="008838A5">
      <w:pPr>
        <w:spacing w:after="160"/>
        <w:rPr>
          <w:sz w:val="22"/>
          <w:szCs w:val="22"/>
          <w:lang w:val="es-CO"/>
        </w:rPr>
      </w:pPr>
      <w:r>
        <w:rPr>
          <w:sz w:val="22"/>
          <w:szCs w:val="22"/>
          <w:lang w:val="es-CO"/>
        </w:rPr>
        <w:t>La Resolución CREG 101 127 de 2026 fue publicada en el Diario Oficial el 31 de agosto de 2026. Su artículo 8 establece el procedimiento para definir las curvas ISO-GT y distribuye las competencias de la siguiente manera: el CND y el Consejo Nacional de Operación</w:t>
      </w:r>
      <w:r w:rsidRPr="003E677B">
        <w:rPr>
          <w:rFonts w:cs="Arial"/>
          <w:sz w:val="22"/>
          <w:szCs w:val="22"/>
          <w:lang w:val="es-CO"/>
        </w:rPr>
        <w:t xml:space="preserve"> (</w:t>
      </w:r>
      <w:r>
        <w:rPr>
          <w:sz w:val="22"/>
          <w:szCs w:val="22"/>
          <w:lang w:val="es-CO"/>
        </w:rPr>
        <w:t>CNO</w:t>
      </w:r>
      <w:r w:rsidRPr="003E677B">
        <w:rPr>
          <w:rFonts w:cs="Arial"/>
          <w:sz w:val="22"/>
          <w:szCs w:val="22"/>
          <w:lang w:val="es-CO"/>
        </w:rPr>
        <w:t>)</w:t>
      </w:r>
      <w:r>
        <w:rPr>
          <w:sz w:val="22"/>
          <w:szCs w:val="22"/>
          <w:lang w:val="es-CO"/>
        </w:rPr>
        <w:t xml:space="preserve"> remiten a la Comisión, cada uno por separado, sus propuestas sobre la hidrología crítica de referencia, el umbral ISO-térmica, el nivel mínimo del embalse parcial al final del año hidrológico y las demás variables de entrada del cálculo conforme al Anexo 1, con los supuestos y análisis que las sustentan, así como las curvas resultantes; la Comisión analiza y determina los parámetros y variables del cálculo y los comunica mediante circular de la Dirección Ejecutiva; y el CND calcula las curvas conforme al Anexo 1 y las publica en su página web junto con el documento soporte del cálculo y los insumos utilizados.</w:t>
      </w:r>
    </w:p>
    <w:p w14:paraId="7715777C" w14:textId="77777777" w:rsidR="008838A5" w:rsidRDefault="008838A5" w:rsidP="008838A5">
      <w:pPr>
        <w:spacing w:after="160"/>
        <w:rPr>
          <w:sz w:val="22"/>
          <w:szCs w:val="22"/>
          <w:lang w:val="es-CO"/>
        </w:rPr>
      </w:pPr>
      <w:r w:rsidRPr="00B44393">
        <w:rPr>
          <w:sz w:val="22"/>
          <w:szCs w:val="22"/>
          <w:lang w:val="es-CO"/>
        </w:rPr>
        <w:t xml:space="preserve">El parágrafo 2 del mismo artículo </w:t>
      </w:r>
      <w:r w:rsidRPr="00B44393">
        <w:rPr>
          <w:rFonts w:cs="Arial"/>
          <w:sz w:val="22"/>
          <w:szCs w:val="22"/>
          <w:lang w:val="es-CO"/>
        </w:rPr>
        <w:t>reduc</w:t>
      </w:r>
      <w:r w:rsidRPr="00B44393">
        <w:rPr>
          <w:sz w:val="22"/>
          <w:szCs w:val="22"/>
          <w:lang w:val="es-CO"/>
        </w:rPr>
        <w:t xml:space="preserve">e los plazos para la primera aplicación del procedimiento a un día calendario para cada una de las tres etapas, y precisa que las primeras curvas ISO-GT </w:t>
      </w:r>
      <w:r w:rsidRPr="00B44393">
        <w:rPr>
          <w:sz w:val="22"/>
          <w:szCs w:val="22"/>
          <w:lang w:val="es-CO"/>
        </w:rPr>
        <w:lastRenderedPageBreak/>
        <w:t xml:space="preserve">se calculan para el período hidrológico comprendido entre el mes de publicación de la resolución en el Diario Oficial del año </w:t>
      </w:r>
      <w:r w:rsidRPr="00B44393">
        <w:rPr>
          <w:i/>
          <w:sz w:val="22"/>
          <w:szCs w:val="22"/>
          <w:lang w:val="es-CO"/>
        </w:rPr>
        <w:t>t</w:t>
      </w:r>
      <w:r w:rsidRPr="00B44393">
        <w:rPr>
          <w:sz w:val="22"/>
          <w:szCs w:val="22"/>
          <w:lang w:val="es-CO"/>
        </w:rPr>
        <w:t xml:space="preserve"> y abril del año </w:t>
      </w:r>
      <w:r w:rsidRPr="00B44393">
        <w:rPr>
          <w:i/>
          <w:sz w:val="22"/>
          <w:szCs w:val="22"/>
          <w:lang w:val="es-CO"/>
        </w:rPr>
        <w:t>t+1</w:t>
      </w:r>
      <w:r w:rsidRPr="00B44393">
        <w:rPr>
          <w:sz w:val="22"/>
          <w:szCs w:val="22"/>
          <w:lang w:val="es-CO"/>
        </w:rPr>
        <w:t>.</w:t>
      </w:r>
    </w:p>
    <w:p w14:paraId="0D95D666" w14:textId="77777777" w:rsidR="008838A5" w:rsidRDefault="008838A5" w:rsidP="008838A5">
      <w:pPr>
        <w:spacing w:after="160"/>
        <w:rPr>
          <w:sz w:val="22"/>
          <w:szCs w:val="22"/>
          <w:lang w:val="es-CO"/>
        </w:rPr>
      </w:pPr>
      <w:r>
        <w:rPr>
          <w:sz w:val="22"/>
          <w:szCs w:val="22"/>
          <w:lang w:val="es-CO"/>
        </w:rPr>
        <w:t xml:space="preserve">El numeral 2 del Anexo 1 enumera los insumos del cálculo: la demanda mensual tomando como referencia la última proyección publicada por la Unidad de Planeación Minero Energética (UPME); los escalones de generación térmica objetivo, con un valor mínimo en GWh/día, un paso de cinco (5) GWh/día y un valor máximo igual a la </w:t>
      </w:r>
      <w:r w:rsidRPr="003E677B">
        <w:rPr>
          <w:rFonts w:cs="Arial"/>
          <w:sz w:val="22"/>
          <w:szCs w:val="22"/>
          <w:lang w:val="es-CO"/>
        </w:rPr>
        <w:t>energía firme para el cargo por confiabilidad (ENFICC)</w:t>
      </w:r>
      <w:r>
        <w:rPr>
          <w:sz w:val="22"/>
          <w:szCs w:val="22"/>
          <w:lang w:val="es-CO"/>
        </w:rPr>
        <w:t xml:space="preserve"> del parque térmico; la generación esperada del sistema de Bogotá modelada con la ENFICC de la planta PAGUA y la de las </w:t>
      </w:r>
      <w:r w:rsidRPr="003E677B">
        <w:rPr>
          <w:rFonts w:cs="Arial"/>
          <w:sz w:val="22"/>
          <w:szCs w:val="22"/>
          <w:lang w:val="es-CO"/>
        </w:rPr>
        <w:t>fuentes no convencionales de energía renovable (FNCER) despachadas centralmente,</w:t>
      </w:r>
      <w:r>
        <w:rPr>
          <w:sz w:val="22"/>
          <w:szCs w:val="22"/>
          <w:lang w:val="es-CO"/>
        </w:rPr>
        <w:t xml:space="preserve"> modeladas con su valor de ENFICC; la generación esperada de las plantas filo de agua y de las plantas no despachadas centralmente</w:t>
      </w:r>
      <w:r w:rsidRPr="003E677B">
        <w:rPr>
          <w:rFonts w:cs="Arial"/>
          <w:sz w:val="22"/>
          <w:szCs w:val="22"/>
          <w:lang w:val="es-CO"/>
        </w:rPr>
        <w:t xml:space="preserve"> (</w:t>
      </w:r>
      <w:r>
        <w:rPr>
          <w:sz w:val="22"/>
          <w:szCs w:val="22"/>
          <w:lang w:val="es-CO"/>
        </w:rPr>
        <w:t xml:space="preserve">PNDC); el desbalance hídrico; la serie crítica de aportes hídricos representativa de hidrología severa; los vertimientos; y las cotas del cálculo, con un límite inferior de V% del volumen útil al 30 de abril del año </w:t>
      </w:r>
      <w:r>
        <w:rPr>
          <w:i/>
          <w:sz w:val="22"/>
          <w:szCs w:val="22"/>
          <w:lang w:val="es-CO"/>
        </w:rPr>
        <w:t>t+1</w:t>
      </w:r>
      <w:r>
        <w:rPr>
          <w:sz w:val="22"/>
          <w:szCs w:val="22"/>
          <w:lang w:val="es-CO"/>
        </w:rPr>
        <w:t xml:space="preserve"> y un límite superior del cien por ciento (100%).</w:t>
      </w:r>
    </w:p>
    <w:p w14:paraId="484EAE64" w14:textId="77777777" w:rsidR="008838A5" w:rsidRDefault="008838A5" w:rsidP="008838A5">
      <w:pPr>
        <w:spacing w:after="160"/>
        <w:rPr>
          <w:sz w:val="22"/>
          <w:szCs w:val="22"/>
          <w:lang w:val="es-CO"/>
        </w:rPr>
      </w:pPr>
      <w:r>
        <w:rPr>
          <w:sz w:val="22"/>
          <w:szCs w:val="22"/>
          <w:lang w:val="es-CO"/>
        </w:rPr>
        <w:t>Finalmente, el parágrafo 1 del artículo 11 dispone que el porcentaje (X%) del volumen útil del embalse asociado al segundo punto del literal b.2 de ese artículo sea propuesto por el CND en la misma oportunidad del procedimiento del artículo 8.</w:t>
      </w:r>
    </w:p>
    <w:p w14:paraId="0D851A08" w14:textId="77777777" w:rsidR="008838A5" w:rsidRDefault="008838A5" w:rsidP="008838A5">
      <w:pPr>
        <w:pStyle w:val="Ttulo2"/>
        <w:spacing w:before="280" w:after="200"/>
        <w:rPr>
          <w:sz w:val="22"/>
          <w:szCs w:val="22"/>
          <w:lang w:val="es-CO"/>
        </w:rPr>
      </w:pPr>
      <w:bookmarkStart w:id="5" w:name="_Toc239520985"/>
      <w:r>
        <w:rPr>
          <w:sz w:val="22"/>
          <w:szCs w:val="22"/>
          <w:lang w:val="es-CO"/>
        </w:rPr>
        <w:t>Propuestas Recibidas</w:t>
      </w:r>
      <w:bookmarkEnd w:id="5"/>
    </w:p>
    <w:p w14:paraId="4644675E" w14:textId="77777777" w:rsidR="008838A5" w:rsidRDefault="008838A5" w:rsidP="008838A5">
      <w:pPr>
        <w:spacing w:after="160"/>
        <w:rPr>
          <w:sz w:val="22"/>
          <w:szCs w:val="22"/>
          <w:lang w:val="es-CO"/>
        </w:rPr>
      </w:pPr>
      <w:r>
        <w:rPr>
          <w:sz w:val="22"/>
          <w:szCs w:val="22"/>
          <w:lang w:val="es-CO"/>
        </w:rPr>
        <w:t>Dentro del plazo previsto en el parágrafo 2 del artículo 8, la Comisión recibió las siguientes comunicaciones:</w:t>
      </w:r>
    </w:p>
    <w:p w14:paraId="493E5F68" w14:textId="77777777" w:rsidR="008838A5" w:rsidRDefault="008838A5" w:rsidP="008838A5">
      <w:pPr>
        <w:pStyle w:val="Prrafodelista"/>
        <w:numPr>
          <w:ilvl w:val="0"/>
          <w:numId w:val="7"/>
        </w:numPr>
        <w:spacing w:after="120"/>
        <w:ind w:left="709" w:hanging="357"/>
        <w:rPr>
          <w:sz w:val="22"/>
          <w:szCs w:val="22"/>
          <w:lang w:val="es-CO"/>
        </w:rPr>
      </w:pPr>
      <w:r>
        <w:rPr>
          <w:sz w:val="22"/>
          <w:szCs w:val="22"/>
          <w:lang w:val="es-CO"/>
        </w:rPr>
        <w:t xml:space="preserve">Del CND: </w:t>
      </w:r>
      <w:r w:rsidRPr="009A570E">
        <w:rPr>
          <w:sz w:val="22"/>
          <w:szCs w:val="22"/>
          <w:lang w:val="es-CO"/>
        </w:rPr>
        <w:t xml:space="preserve">comunicación del 1 de septiembre de 2026, radicado </w:t>
      </w:r>
      <w:r w:rsidRPr="00B44393">
        <w:rPr>
          <w:sz w:val="22"/>
          <w:szCs w:val="22"/>
          <w:lang w:val="es-CO"/>
        </w:rPr>
        <w:t>XM 202644017112-1</w:t>
      </w:r>
      <w:r w:rsidRPr="009A570E">
        <w:rPr>
          <w:sz w:val="22"/>
          <w:szCs w:val="22"/>
          <w:lang w:val="es-CO"/>
        </w:rPr>
        <w:t xml:space="preserve">, mediante la cual se actualiza la propuesta remitida con radicado </w:t>
      </w:r>
      <w:r w:rsidRPr="00B44393">
        <w:rPr>
          <w:sz w:val="22"/>
          <w:szCs w:val="22"/>
          <w:lang w:val="es-CO"/>
        </w:rPr>
        <w:t>XM 202644016973-1</w:t>
      </w:r>
      <w:r w:rsidRPr="009A570E">
        <w:rPr>
          <w:sz w:val="22"/>
          <w:szCs w:val="22"/>
          <w:lang w:val="es-CO"/>
        </w:rPr>
        <w:t xml:space="preserve"> del 30 de agosto de 2026. Adjunta el documento de supuestos, parámetros y variables</w:t>
      </w:r>
      <w:r>
        <w:rPr>
          <w:sz w:val="22"/>
          <w:szCs w:val="22"/>
          <w:lang w:val="es-CO"/>
        </w:rPr>
        <w:t xml:space="preserve"> para la construcción de las curvas ISO-GT, las curvas resultantes para el horizonte del año hidrológico en curso y la propuesta del parámetro X% del parágrafo 1 del artículo 11.</w:t>
      </w:r>
    </w:p>
    <w:p w14:paraId="78DF05F3" w14:textId="77777777" w:rsidR="008838A5" w:rsidRDefault="008838A5" w:rsidP="008838A5">
      <w:pPr>
        <w:pStyle w:val="Prrafodelista"/>
        <w:numPr>
          <w:ilvl w:val="0"/>
          <w:numId w:val="7"/>
        </w:numPr>
        <w:spacing w:after="120"/>
        <w:ind w:left="709" w:hanging="357"/>
        <w:rPr>
          <w:sz w:val="22"/>
          <w:szCs w:val="22"/>
          <w:lang w:val="es-CO"/>
        </w:rPr>
      </w:pPr>
      <w:r>
        <w:rPr>
          <w:sz w:val="22"/>
          <w:szCs w:val="22"/>
          <w:lang w:val="es-CO"/>
        </w:rPr>
        <w:t>Del CNO: comunicación del 1 de septiembre de 2026, con los supuestos considerados por el Consejo, las curvas ISO-GT resultantes, su propuesta de umbral ISO-térmica y consideraciones adicionales sobre la activación del mecanismo para el sostenimiento de la confiabilidad y sobre las causales de redespacho.</w:t>
      </w:r>
    </w:p>
    <w:p w14:paraId="1EF42E12" w14:textId="77777777" w:rsidR="008838A5" w:rsidRDefault="008838A5" w:rsidP="008838A5">
      <w:pPr>
        <w:spacing w:after="160"/>
        <w:rPr>
          <w:sz w:val="22"/>
          <w:szCs w:val="22"/>
          <w:lang w:val="es-CO"/>
        </w:rPr>
      </w:pPr>
      <w:r>
        <w:rPr>
          <w:sz w:val="22"/>
          <w:szCs w:val="22"/>
          <w:lang w:val="es-CO"/>
        </w:rPr>
        <w:t xml:space="preserve">Las dos propuestas convergen en la mayoría de las variables de entrada —la referencia de demanda, la serie crítica de aportes hídricos, el tratamiento de las plantas no despachadas centralmente, el criterio de desbalance hídrico y el paso del escalonamiento térmico— y difieren entre sí en el nivel mínimo del embalse parcial al final del año hidrológico, en el umbral ISO-térmica y en el valor mínimo de generación térmica objetivo de la primera curva ISO-GT. </w:t>
      </w:r>
    </w:p>
    <w:p w14:paraId="18982682" w14:textId="77777777" w:rsidR="008838A5" w:rsidRDefault="008838A5" w:rsidP="008838A5">
      <w:pPr>
        <w:pStyle w:val="Ttulo1"/>
        <w:spacing w:before="360"/>
        <w:rPr>
          <w:szCs w:val="24"/>
          <w:lang w:val="es-CO"/>
        </w:rPr>
      </w:pPr>
      <w:bookmarkStart w:id="6" w:name="_Toc239520986"/>
      <w:r>
        <w:rPr>
          <w:szCs w:val="24"/>
          <w:lang w:val="es-CO"/>
        </w:rPr>
        <w:t>PARÁMETROS PARA EL CÁLCULO DE LAS CURVAS ISO-GT</w:t>
      </w:r>
      <w:bookmarkEnd w:id="6"/>
    </w:p>
    <w:p w14:paraId="200A0506" w14:textId="77777777" w:rsidR="008838A5" w:rsidRDefault="008838A5" w:rsidP="008838A5">
      <w:pPr>
        <w:spacing w:after="160"/>
        <w:rPr>
          <w:sz w:val="22"/>
          <w:szCs w:val="22"/>
          <w:lang w:val="es-CO"/>
        </w:rPr>
      </w:pPr>
      <w:r>
        <w:rPr>
          <w:sz w:val="22"/>
          <w:szCs w:val="22"/>
          <w:lang w:val="es-CO"/>
        </w:rPr>
        <w:t>Se analizó cada uno de los insumos enumerados en el numeral 2 del Anexo 1. Como regla general acoge la propuesta del CND, por las razones que se exponen en cada numeral, y se aparta de ella en dos aspectos puntuales: el valor mínimo del escalonamiento de generación térmica objetivo, tratado en el numeral 3.4, y el tratamiento de la generación de las plantas modeladas con la ENFICC, tratado en el numeral 3.5.</w:t>
      </w:r>
    </w:p>
    <w:p w14:paraId="3B6F68B5" w14:textId="77777777" w:rsidR="008838A5" w:rsidRDefault="008838A5" w:rsidP="008838A5">
      <w:pPr>
        <w:pStyle w:val="Ttulo2"/>
        <w:spacing w:before="280" w:after="200"/>
        <w:rPr>
          <w:sz w:val="22"/>
          <w:szCs w:val="22"/>
          <w:lang w:val="es-CO"/>
        </w:rPr>
      </w:pPr>
      <w:bookmarkStart w:id="7" w:name="_Toc239520987"/>
      <w:r>
        <w:rPr>
          <w:sz w:val="22"/>
          <w:szCs w:val="22"/>
          <w:lang w:val="es-CO"/>
        </w:rPr>
        <w:lastRenderedPageBreak/>
        <w:t>Conformación del Embalse Parcial</w:t>
      </w:r>
      <w:bookmarkEnd w:id="7"/>
    </w:p>
    <w:p w14:paraId="3C10C411" w14:textId="77777777" w:rsidR="008838A5" w:rsidRDefault="008838A5" w:rsidP="008838A5">
      <w:pPr>
        <w:spacing w:after="160"/>
        <w:rPr>
          <w:sz w:val="22"/>
          <w:szCs w:val="22"/>
          <w:lang w:val="es-CO"/>
        </w:rPr>
      </w:pPr>
      <w:r>
        <w:rPr>
          <w:b/>
          <w:sz w:val="22"/>
          <w:szCs w:val="22"/>
          <w:lang w:val="es-CO"/>
        </w:rPr>
        <w:t>Determinación: se acoge la propuesta del CND y del CNO.</w:t>
      </w:r>
      <w:r>
        <w:rPr>
          <w:sz w:val="22"/>
          <w:szCs w:val="22"/>
          <w:lang w:val="es-CO"/>
        </w:rPr>
        <w:t xml:space="preserve"> El agregado sobre el cual se construyen las curvas corresponde a la suma de los volúmenes útiles de los embalses del </w:t>
      </w:r>
      <w:r w:rsidRPr="003E677B">
        <w:rPr>
          <w:rFonts w:cs="Arial"/>
          <w:sz w:val="22"/>
          <w:szCs w:val="22"/>
          <w:lang w:val="es-CO"/>
        </w:rPr>
        <w:t>Sistema Interconectado Nacional (SIN),</w:t>
      </w:r>
      <w:r>
        <w:rPr>
          <w:sz w:val="22"/>
          <w:szCs w:val="22"/>
          <w:lang w:val="es-CO"/>
        </w:rPr>
        <w:t xml:space="preserve"> con exclusión de los embalses de la cadena del río Bogotá.</w:t>
      </w:r>
    </w:p>
    <w:p w14:paraId="6A3E919F" w14:textId="77777777" w:rsidR="008838A5" w:rsidRDefault="008838A5" w:rsidP="008838A5">
      <w:pPr>
        <w:spacing w:after="160"/>
        <w:rPr>
          <w:sz w:val="22"/>
          <w:szCs w:val="22"/>
          <w:lang w:val="es-CO"/>
        </w:rPr>
      </w:pPr>
      <w:r>
        <w:rPr>
          <w:sz w:val="22"/>
          <w:szCs w:val="22"/>
          <w:lang w:val="es-CO"/>
        </w:rPr>
        <w:t xml:space="preserve">La exclusión no es una decisión discrecional del CND sino una consecuencia necesaria del Anexo 1. La metodología modela el sistema de Bogotá por el lado de la oferta, mediante la generación asociada a la ENFICC de la planta PAGUA, e incorpora en la serie crítica los aportes de todos los embalses </w:t>
      </w:r>
      <w:r>
        <w:rPr>
          <w:i/>
          <w:sz w:val="22"/>
          <w:szCs w:val="22"/>
          <w:lang w:val="es-CO"/>
        </w:rPr>
        <w:t>salvo</w:t>
      </w:r>
      <w:r>
        <w:rPr>
          <w:sz w:val="22"/>
          <w:szCs w:val="22"/>
          <w:lang w:val="es-CO"/>
        </w:rPr>
        <w:t xml:space="preserve"> los del sistema de Bogotá. Mantener esos embalses dentro del agregado implicaría contabilizar dos veces el mismo recurso: una vez como energía almacenada y otra como generación esperada. La conformación propuesta es, por tanto, la única compatible con la estructura del balance.</w:t>
      </w:r>
    </w:p>
    <w:p w14:paraId="7D656B9B" w14:textId="77777777" w:rsidR="008838A5" w:rsidRDefault="008838A5" w:rsidP="008838A5">
      <w:pPr>
        <w:pStyle w:val="Ttulo2"/>
        <w:spacing w:before="280" w:after="200"/>
        <w:rPr>
          <w:sz w:val="22"/>
          <w:szCs w:val="22"/>
          <w:lang w:val="es-CO"/>
        </w:rPr>
      </w:pPr>
      <w:bookmarkStart w:id="8" w:name="_Toc239520988"/>
      <w:r>
        <w:rPr>
          <w:sz w:val="22"/>
          <w:szCs w:val="22"/>
          <w:lang w:val="es-CO"/>
        </w:rPr>
        <w:t>Demanda Mensual de Energía</w:t>
      </w:r>
      <w:bookmarkEnd w:id="8"/>
    </w:p>
    <w:p w14:paraId="36DE1A43" w14:textId="77777777" w:rsidR="008838A5" w:rsidRDefault="008838A5" w:rsidP="008838A5">
      <w:pPr>
        <w:spacing w:after="160"/>
        <w:rPr>
          <w:sz w:val="22"/>
          <w:szCs w:val="22"/>
          <w:lang w:val="es-CO"/>
        </w:rPr>
      </w:pPr>
      <w:r>
        <w:rPr>
          <w:b/>
          <w:sz w:val="22"/>
          <w:szCs w:val="22"/>
          <w:lang w:val="es-CO"/>
        </w:rPr>
        <w:t>Determinación: se acoge la propuesta del CND y del CNO.</w:t>
      </w:r>
      <w:r>
        <w:rPr>
          <w:sz w:val="22"/>
          <w:szCs w:val="22"/>
          <w:lang w:val="es-CO"/>
        </w:rPr>
        <w:t xml:space="preserve"> </w:t>
      </w:r>
      <w:r w:rsidRPr="003E677B">
        <w:rPr>
          <w:rFonts w:cs="Arial"/>
          <w:sz w:val="22"/>
          <w:szCs w:val="22"/>
          <w:lang w:val="es-CO"/>
        </w:rPr>
        <w:t>Se toma</w:t>
      </w:r>
      <w:r>
        <w:rPr>
          <w:sz w:val="22"/>
          <w:szCs w:val="22"/>
          <w:lang w:val="es-CO"/>
        </w:rPr>
        <w:t xml:space="preserve"> el escenario medio de la última revisión publicada por la UPME.</w:t>
      </w:r>
    </w:p>
    <w:p w14:paraId="01A2470C" w14:textId="77777777" w:rsidR="008838A5" w:rsidRDefault="008838A5" w:rsidP="008838A5">
      <w:pPr>
        <w:spacing w:after="160"/>
        <w:rPr>
          <w:sz w:val="22"/>
          <w:szCs w:val="22"/>
          <w:lang w:val="es-CO"/>
        </w:rPr>
      </w:pPr>
      <w:r w:rsidRPr="00CE2A47">
        <w:rPr>
          <w:rFonts w:cs="Arial"/>
          <w:sz w:val="22"/>
          <w:szCs w:val="22"/>
          <w:lang w:val="es-CO"/>
        </w:rPr>
        <w:t>El</w:t>
      </w:r>
      <w:r>
        <w:rPr>
          <w:sz w:val="22"/>
          <w:szCs w:val="22"/>
          <w:lang w:val="es-CO"/>
        </w:rPr>
        <w:t xml:space="preserve"> </w:t>
      </w:r>
      <w:r w:rsidRPr="00CE2A47">
        <w:rPr>
          <w:rFonts w:cs="Arial"/>
          <w:sz w:val="22"/>
          <w:szCs w:val="22"/>
          <w:lang w:val="es-CO"/>
        </w:rPr>
        <w:t>Anexo</w:t>
      </w:r>
      <w:r>
        <w:rPr>
          <w:sz w:val="22"/>
          <w:szCs w:val="22"/>
          <w:lang w:val="es-CO"/>
        </w:rPr>
        <w:t xml:space="preserve"> </w:t>
      </w:r>
      <w:r w:rsidRPr="00CE2A47">
        <w:rPr>
          <w:rFonts w:cs="Arial"/>
          <w:sz w:val="22"/>
          <w:szCs w:val="22"/>
          <w:lang w:val="es-CO"/>
        </w:rPr>
        <w:t>1</w:t>
      </w:r>
      <w:r>
        <w:rPr>
          <w:sz w:val="22"/>
          <w:szCs w:val="22"/>
          <w:lang w:val="es-CO"/>
        </w:rPr>
        <w:t xml:space="preserve"> </w:t>
      </w:r>
      <w:r w:rsidRPr="00CE2A47">
        <w:rPr>
          <w:rFonts w:cs="Arial"/>
          <w:sz w:val="22"/>
          <w:szCs w:val="22"/>
          <w:lang w:val="es-CO"/>
        </w:rPr>
        <w:t>fija</w:t>
      </w:r>
      <w:r>
        <w:rPr>
          <w:sz w:val="22"/>
          <w:szCs w:val="22"/>
          <w:lang w:val="es-CO"/>
        </w:rPr>
        <w:t xml:space="preserve"> </w:t>
      </w:r>
      <w:r w:rsidRPr="00CE2A47">
        <w:rPr>
          <w:rFonts w:cs="Arial"/>
          <w:sz w:val="22"/>
          <w:szCs w:val="22"/>
          <w:lang w:val="es-CO"/>
        </w:rPr>
        <w:t>expresamente</w:t>
      </w:r>
      <w:r>
        <w:rPr>
          <w:sz w:val="22"/>
          <w:szCs w:val="22"/>
          <w:lang w:val="es-CO"/>
        </w:rPr>
        <w:t xml:space="preserve"> </w:t>
      </w:r>
      <w:r w:rsidRPr="00CE2A47">
        <w:rPr>
          <w:rFonts w:cs="Arial"/>
          <w:sz w:val="22"/>
          <w:szCs w:val="22"/>
          <w:lang w:val="es-CO"/>
        </w:rPr>
        <w:t>la</w:t>
      </w:r>
      <w:r>
        <w:rPr>
          <w:sz w:val="22"/>
          <w:szCs w:val="22"/>
          <w:lang w:val="es-CO"/>
        </w:rPr>
        <w:t xml:space="preserve"> </w:t>
      </w:r>
      <w:r w:rsidRPr="00CE2A47">
        <w:rPr>
          <w:rFonts w:cs="Arial"/>
          <w:sz w:val="22"/>
          <w:szCs w:val="22"/>
          <w:lang w:val="es-CO"/>
        </w:rPr>
        <w:t>proyección</w:t>
      </w:r>
      <w:r>
        <w:rPr>
          <w:sz w:val="22"/>
          <w:szCs w:val="22"/>
          <w:lang w:val="es-CO"/>
        </w:rPr>
        <w:t xml:space="preserve"> </w:t>
      </w:r>
      <w:r w:rsidRPr="00CE2A47">
        <w:rPr>
          <w:rFonts w:cs="Arial"/>
          <w:sz w:val="22"/>
          <w:szCs w:val="22"/>
          <w:lang w:val="es-CO"/>
        </w:rPr>
        <w:t>de</w:t>
      </w:r>
      <w:r>
        <w:rPr>
          <w:sz w:val="22"/>
          <w:szCs w:val="22"/>
          <w:lang w:val="es-CO"/>
        </w:rPr>
        <w:t xml:space="preserve"> </w:t>
      </w:r>
      <w:r w:rsidRPr="00CE2A47">
        <w:rPr>
          <w:rFonts w:cs="Arial"/>
          <w:sz w:val="22"/>
          <w:szCs w:val="22"/>
          <w:lang w:val="es-CO"/>
        </w:rPr>
        <w:t>la</w:t>
      </w:r>
      <w:r>
        <w:rPr>
          <w:sz w:val="22"/>
          <w:szCs w:val="22"/>
          <w:lang w:val="es-CO"/>
        </w:rPr>
        <w:t xml:space="preserve"> </w:t>
      </w:r>
      <w:r w:rsidRPr="00CE2A47">
        <w:rPr>
          <w:rFonts w:cs="Arial"/>
          <w:sz w:val="22"/>
          <w:szCs w:val="22"/>
          <w:lang w:val="es-CO"/>
        </w:rPr>
        <w:t>UPME</w:t>
      </w:r>
      <w:r>
        <w:rPr>
          <w:sz w:val="22"/>
          <w:szCs w:val="22"/>
          <w:lang w:val="es-CO"/>
        </w:rPr>
        <w:t xml:space="preserve"> </w:t>
      </w:r>
      <w:r w:rsidRPr="00CE2A47">
        <w:rPr>
          <w:rFonts w:cs="Arial"/>
          <w:sz w:val="22"/>
          <w:szCs w:val="22"/>
          <w:lang w:val="es-CO"/>
        </w:rPr>
        <w:t>como</w:t>
      </w:r>
      <w:r>
        <w:rPr>
          <w:sz w:val="22"/>
          <w:szCs w:val="22"/>
          <w:lang w:val="es-CO"/>
        </w:rPr>
        <w:t xml:space="preserve"> </w:t>
      </w:r>
      <w:r w:rsidRPr="00CE2A47">
        <w:rPr>
          <w:rFonts w:cs="Arial"/>
          <w:sz w:val="22"/>
          <w:szCs w:val="22"/>
          <w:lang w:val="es-CO"/>
        </w:rPr>
        <w:t>referencia,</w:t>
      </w:r>
      <w:r>
        <w:rPr>
          <w:sz w:val="22"/>
          <w:szCs w:val="22"/>
          <w:lang w:val="es-CO"/>
        </w:rPr>
        <w:t xml:space="preserve"> </w:t>
      </w:r>
      <w:r w:rsidRPr="00CE2A47">
        <w:rPr>
          <w:rFonts w:cs="Arial"/>
          <w:sz w:val="22"/>
          <w:szCs w:val="22"/>
          <w:lang w:val="es-CO"/>
        </w:rPr>
        <w:t>de</w:t>
      </w:r>
      <w:r>
        <w:rPr>
          <w:sz w:val="22"/>
          <w:szCs w:val="22"/>
          <w:lang w:val="es-CO"/>
        </w:rPr>
        <w:t xml:space="preserve"> </w:t>
      </w:r>
      <w:r w:rsidRPr="00CE2A47">
        <w:rPr>
          <w:rFonts w:cs="Arial"/>
          <w:sz w:val="22"/>
          <w:szCs w:val="22"/>
          <w:lang w:val="es-CO"/>
        </w:rPr>
        <w:t>modo</w:t>
      </w:r>
      <w:r>
        <w:rPr>
          <w:sz w:val="22"/>
          <w:szCs w:val="22"/>
          <w:lang w:val="es-CO"/>
        </w:rPr>
        <w:t xml:space="preserve"> </w:t>
      </w:r>
      <w:r w:rsidRPr="00CE2A47">
        <w:rPr>
          <w:rFonts w:cs="Arial"/>
          <w:sz w:val="22"/>
          <w:szCs w:val="22"/>
          <w:lang w:val="es-CO"/>
        </w:rPr>
        <w:t>que</w:t>
      </w:r>
      <w:r>
        <w:rPr>
          <w:sz w:val="22"/>
          <w:szCs w:val="22"/>
          <w:lang w:val="es-CO"/>
        </w:rPr>
        <w:t xml:space="preserve"> </w:t>
      </w:r>
      <w:r w:rsidRPr="00CE2A47">
        <w:rPr>
          <w:rFonts w:cs="Arial"/>
          <w:sz w:val="22"/>
          <w:szCs w:val="22"/>
          <w:lang w:val="es-CO"/>
        </w:rPr>
        <w:t>la</w:t>
      </w:r>
      <w:r>
        <w:rPr>
          <w:sz w:val="22"/>
          <w:szCs w:val="22"/>
          <w:lang w:val="es-CO"/>
        </w:rPr>
        <w:t xml:space="preserve"> </w:t>
      </w:r>
      <w:r w:rsidRPr="00CE2A47">
        <w:rPr>
          <w:rFonts w:cs="Arial"/>
          <w:sz w:val="22"/>
          <w:szCs w:val="22"/>
          <w:lang w:val="es-CO"/>
        </w:rPr>
        <w:t>determinación</w:t>
      </w:r>
      <w:r>
        <w:rPr>
          <w:sz w:val="22"/>
          <w:szCs w:val="22"/>
          <w:lang w:val="es-CO"/>
        </w:rPr>
        <w:t xml:space="preserve"> </w:t>
      </w:r>
      <w:r w:rsidRPr="00CE2A47">
        <w:rPr>
          <w:rFonts w:cs="Arial"/>
          <w:sz w:val="22"/>
          <w:szCs w:val="22"/>
          <w:lang w:val="es-CO"/>
        </w:rPr>
        <w:t>se</w:t>
      </w:r>
      <w:r>
        <w:rPr>
          <w:sz w:val="22"/>
          <w:szCs w:val="22"/>
          <w:lang w:val="es-CO"/>
        </w:rPr>
        <w:t xml:space="preserve"> </w:t>
      </w:r>
      <w:r w:rsidRPr="00CE2A47">
        <w:rPr>
          <w:rFonts w:cs="Arial"/>
          <w:sz w:val="22"/>
          <w:szCs w:val="22"/>
          <w:lang w:val="es-CO"/>
        </w:rPr>
        <w:t>limita</w:t>
      </w:r>
      <w:r>
        <w:rPr>
          <w:sz w:val="22"/>
          <w:szCs w:val="22"/>
          <w:lang w:val="es-CO"/>
        </w:rPr>
        <w:t xml:space="preserve"> </w:t>
      </w:r>
      <w:r w:rsidRPr="00CE2A47">
        <w:rPr>
          <w:rFonts w:cs="Arial"/>
          <w:sz w:val="22"/>
          <w:szCs w:val="22"/>
          <w:lang w:val="es-CO"/>
        </w:rPr>
        <w:t>a</w:t>
      </w:r>
      <w:r>
        <w:rPr>
          <w:sz w:val="22"/>
          <w:szCs w:val="22"/>
          <w:lang w:val="es-CO"/>
        </w:rPr>
        <w:t xml:space="preserve"> </w:t>
      </w:r>
      <w:r w:rsidRPr="00CE2A47">
        <w:rPr>
          <w:rFonts w:cs="Arial"/>
          <w:sz w:val="22"/>
          <w:szCs w:val="22"/>
          <w:lang w:val="es-CO"/>
        </w:rPr>
        <w:t>precisar</w:t>
      </w:r>
      <w:r>
        <w:rPr>
          <w:sz w:val="22"/>
          <w:szCs w:val="22"/>
          <w:lang w:val="es-CO"/>
        </w:rPr>
        <w:t xml:space="preserve"> </w:t>
      </w:r>
      <w:r w:rsidRPr="00CE2A47">
        <w:rPr>
          <w:rFonts w:cs="Arial"/>
          <w:sz w:val="22"/>
          <w:szCs w:val="22"/>
          <w:lang w:val="es-CO"/>
        </w:rPr>
        <w:t>la</w:t>
      </w:r>
      <w:r>
        <w:rPr>
          <w:sz w:val="22"/>
          <w:szCs w:val="22"/>
          <w:lang w:val="es-CO"/>
        </w:rPr>
        <w:t xml:space="preserve"> </w:t>
      </w:r>
      <w:r w:rsidRPr="00CE2A47">
        <w:rPr>
          <w:rFonts w:cs="Arial"/>
          <w:sz w:val="22"/>
          <w:szCs w:val="22"/>
          <w:lang w:val="es-CO"/>
        </w:rPr>
        <w:t>revisión</w:t>
      </w:r>
      <w:r>
        <w:rPr>
          <w:sz w:val="22"/>
          <w:szCs w:val="22"/>
          <w:lang w:val="es-CO"/>
        </w:rPr>
        <w:t xml:space="preserve"> </w:t>
      </w:r>
      <w:r w:rsidRPr="00CE2A47">
        <w:rPr>
          <w:rFonts w:cs="Arial"/>
          <w:sz w:val="22"/>
          <w:szCs w:val="22"/>
          <w:lang w:val="es-CO"/>
        </w:rPr>
        <w:t>aplicable</w:t>
      </w:r>
      <w:r>
        <w:rPr>
          <w:sz w:val="22"/>
          <w:szCs w:val="22"/>
          <w:lang w:val="es-CO"/>
        </w:rPr>
        <w:t xml:space="preserve"> </w:t>
      </w:r>
      <w:r w:rsidRPr="00CE2A47">
        <w:rPr>
          <w:rFonts w:cs="Arial"/>
          <w:sz w:val="22"/>
          <w:szCs w:val="22"/>
          <w:lang w:val="es-CO"/>
        </w:rPr>
        <w:t>y</w:t>
      </w:r>
      <w:r>
        <w:rPr>
          <w:sz w:val="22"/>
          <w:szCs w:val="22"/>
          <w:lang w:val="es-CO"/>
        </w:rPr>
        <w:t xml:space="preserve"> </w:t>
      </w:r>
      <w:r w:rsidRPr="00CE2A47">
        <w:rPr>
          <w:rFonts w:cs="Arial"/>
          <w:sz w:val="22"/>
          <w:szCs w:val="22"/>
          <w:lang w:val="es-CO"/>
        </w:rPr>
        <w:t>el</w:t>
      </w:r>
      <w:r>
        <w:rPr>
          <w:sz w:val="22"/>
          <w:szCs w:val="22"/>
          <w:lang w:val="es-CO"/>
        </w:rPr>
        <w:t xml:space="preserve"> </w:t>
      </w:r>
      <w:r w:rsidRPr="00CE2A47">
        <w:rPr>
          <w:rFonts w:cs="Arial"/>
          <w:sz w:val="22"/>
          <w:szCs w:val="22"/>
          <w:lang w:val="es-CO"/>
        </w:rPr>
        <w:t>escenario</w:t>
      </w:r>
      <w:r>
        <w:rPr>
          <w:rFonts w:cs="Arial"/>
          <w:sz w:val="22"/>
          <w:szCs w:val="22"/>
          <w:lang w:val="es-CO"/>
        </w:rPr>
        <w:t>.</w:t>
      </w:r>
      <w:r>
        <w:rPr>
          <w:sz w:val="22"/>
          <w:szCs w:val="22"/>
          <w:lang w:val="es-CO"/>
        </w:rPr>
        <w:t xml:space="preserve"> L</w:t>
      </w:r>
      <w:r w:rsidRPr="00CE2A47">
        <w:rPr>
          <w:rFonts w:cs="Arial"/>
          <w:sz w:val="22"/>
          <w:szCs w:val="22"/>
          <w:lang w:val="es-CO"/>
        </w:rPr>
        <w:t>a</w:t>
      </w:r>
      <w:r>
        <w:rPr>
          <w:sz w:val="22"/>
          <w:szCs w:val="22"/>
          <w:lang w:val="es-CO"/>
        </w:rPr>
        <w:t xml:space="preserve"> </w:t>
      </w:r>
      <w:r w:rsidRPr="00CE2A47">
        <w:rPr>
          <w:rFonts w:cs="Arial"/>
          <w:sz w:val="22"/>
          <w:szCs w:val="22"/>
          <w:lang w:val="es-CO"/>
        </w:rPr>
        <w:t>nueva</w:t>
      </w:r>
      <w:r>
        <w:rPr>
          <w:sz w:val="22"/>
          <w:szCs w:val="22"/>
          <w:lang w:val="es-CO"/>
        </w:rPr>
        <w:t xml:space="preserve"> </w:t>
      </w:r>
      <w:r w:rsidRPr="00CE2A47">
        <w:rPr>
          <w:rFonts w:cs="Arial"/>
          <w:sz w:val="22"/>
          <w:szCs w:val="22"/>
          <w:lang w:val="es-CO"/>
        </w:rPr>
        <w:t>proyección</w:t>
      </w:r>
      <w:r>
        <w:rPr>
          <w:sz w:val="22"/>
          <w:szCs w:val="22"/>
          <w:lang w:val="es-CO"/>
        </w:rPr>
        <w:t xml:space="preserve"> </w:t>
      </w:r>
      <w:r w:rsidRPr="00CE2A47">
        <w:rPr>
          <w:rFonts w:cs="Arial"/>
          <w:sz w:val="22"/>
          <w:szCs w:val="22"/>
          <w:lang w:val="es-CO"/>
        </w:rPr>
        <w:t>de</w:t>
      </w:r>
      <w:r>
        <w:rPr>
          <w:sz w:val="22"/>
          <w:szCs w:val="22"/>
          <w:lang w:val="es-CO"/>
        </w:rPr>
        <w:t xml:space="preserve"> </w:t>
      </w:r>
      <w:r w:rsidRPr="00CE2A47">
        <w:rPr>
          <w:rFonts w:cs="Arial"/>
          <w:sz w:val="22"/>
          <w:szCs w:val="22"/>
          <w:lang w:val="es-CO"/>
        </w:rPr>
        <w:t>demanda</w:t>
      </w:r>
      <w:r>
        <w:rPr>
          <w:sz w:val="22"/>
          <w:szCs w:val="22"/>
          <w:lang w:val="es-CO"/>
        </w:rPr>
        <w:t xml:space="preserve"> </w:t>
      </w:r>
      <w:r w:rsidRPr="00CE2A47">
        <w:rPr>
          <w:rFonts w:cs="Arial"/>
          <w:sz w:val="22"/>
          <w:szCs w:val="22"/>
          <w:lang w:val="es-CO"/>
        </w:rPr>
        <w:t>de</w:t>
      </w:r>
      <w:r>
        <w:rPr>
          <w:sz w:val="22"/>
          <w:szCs w:val="22"/>
          <w:lang w:val="es-CO"/>
        </w:rPr>
        <w:t xml:space="preserve"> </w:t>
      </w:r>
      <w:r w:rsidRPr="00CE2A47">
        <w:rPr>
          <w:rFonts w:cs="Arial"/>
          <w:sz w:val="22"/>
          <w:szCs w:val="22"/>
          <w:lang w:val="es-CO"/>
        </w:rPr>
        <w:t>la</w:t>
      </w:r>
      <w:r>
        <w:rPr>
          <w:sz w:val="22"/>
          <w:szCs w:val="22"/>
          <w:lang w:val="es-CO"/>
        </w:rPr>
        <w:t xml:space="preserve"> </w:t>
      </w:r>
      <w:r w:rsidRPr="00CE2A47">
        <w:rPr>
          <w:rFonts w:cs="Arial"/>
          <w:sz w:val="22"/>
          <w:szCs w:val="22"/>
          <w:lang w:val="es-CO"/>
        </w:rPr>
        <w:t>UPME</w:t>
      </w:r>
      <w:r>
        <w:rPr>
          <w:sz w:val="22"/>
          <w:szCs w:val="22"/>
          <w:lang w:val="es-CO"/>
        </w:rPr>
        <w:t xml:space="preserve"> </w:t>
      </w:r>
      <w:r w:rsidRPr="00CE2A47">
        <w:rPr>
          <w:rFonts w:cs="Arial"/>
          <w:sz w:val="22"/>
          <w:szCs w:val="22"/>
          <w:lang w:val="es-CO"/>
        </w:rPr>
        <w:t>presenta</w:t>
      </w:r>
      <w:r>
        <w:rPr>
          <w:sz w:val="22"/>
          <w:szCs w:val="22"/>
          <w:lang w:val="es-CO"/>
        </w:rPr>
        <w:t xml:space="preserve"> </w:t>
      </w:r>
      <w:r w:rsidRPr="00CE2A47">
        <w:rPr>
          <w:rFonts w:cs="Arial"/>
          <w:sz w:val="22"/>
          <w:szCs w:val="22"/>
          <w:lang w:val="es-CO"/>
        </w:rPr>
        <w:t>valores</w:t>
      </w:r>
      <w:r>
        <w:rPr>
          <w:sz w:val="22"/>
          <w:szCs w:val="22"/>
          <w:lang w:val="es-CO"/>
        </w:rPr>
        <w:t xml:space="preserve"> </w:t>
      </w:r>
      <w:r w:rsidRPr="00CE2A47">
        <w:rPr>
          <w:rFonts w:cs="Arial"/>
          <w:sz w:val="22"/>
          <w:szCs w:val="22"/>
          <w:lang w:val="es-CO"/>
        </w:rPr>
        <w:t>superiores</w:t>
      </w:r>
      <w:r>
        <w:rPr>
          <w:sz w:val="22"/>
          <w:szCs w:val="22"/>
          <w:lang w:val="es-CO"/>
        </w:rPr>
        <w:t xml:space="preserve"> </w:t>
      </w:r>
      <w:r w:rsidRPr="00CE2A47">
        <w:rPr>
          <w:rFonts w:cs="Arial"/>
          <w:sz w:val="22"/>
          <w:szCs w:val="22"/>
          <w:lang w:val="es-CO"/>
        </w:rPr>
        <w:t>al</w:t>
      </w:r>
      <w:r>
        <w:rPr>
          <w:sz w:val="22"/>
          <w:szCs w:val="22"/>
          <w:lang w:val="es-CO"/>
        </w:rPr>
        <w:t xml:space="preserve"> </w:t>
      </w:r>
      <w:r w:rsidRPr="00CE2A47">
        <w:rPr>
          <w:rFonts w:cs="Arial"/>
          <w:sz w:val="22"/>
          <w:szCs w:val="22"/>
          <w:lang w:val="es-CO"/>
        </w:rPr>
        <w:t>valor</w:t>
      </w:r>
      <w:r>
        <w:rPr>
          <w:sz w:val="22"/>
          <w:szCs w:val="22"/>
          <w:lang w:val="es-CO"/>
        </w:rPr>
        <w:t xml:space="preserve"> </w:t>
      </w:r>
      <w:r w:rsidRPr="00CE2A47">
        <w:rPr>
          <w:rFonts w:cs="Arial"/>
          <w:sz w:val="22"/>
          <w:szCs w:val="22"/>
          <w:lang w:val="es-CO"/>
        </w:rPr>
        <w:t>real</w:t>
      </w:r>
      <w:r>
        <w:rPr>
          <w:sz w:val="22"/>
          <w:szCs w:val="22"/>
          <w:lang w:val="es-CO"/>
        </w:rPr>
        <w:t xml:space="preserve"> </w:t>
      </w:r>
      <w:r w:rsidRPr="00CE2A47">
        <w:rPr>
          <w:rFonts w:cs="Arial"/>
          <w:sz w:val="22"/>
          <w:szCs w:val="22"/>
          <w:lang w:val="es-CO"/>
        </w:rPr>
        <w:t>observado</w:t>
      </w:r>
      <w:r>
        <w:rPr>
          <w:sz w:val="22"/>
          <w:szCs w:val="22"/>
          <w:lang w:val="es-CO"/>
        </w:rPr>
        <w:t xml:space="preserve"> </w:t>
      </w:r>
      <w:r w:rsidRPr="00CE2A47">
        <w:rPr>
          <w:rFonts w:cs="Arial"/>
          <w:sz w:val="22"/>
          <w:szCs w:val="22"/>
          <w:lang w:val="es-CO"/>
        </w:rPr>
        <w:t>a</w:t>
      </w:r>
      <w:r>
        <w:rPr>
          <w:sz w:val="22"/>
          <w:szCs w:val="22"/>
          <w:lang w:val="es-CO"/>
        </w:rPr>
        <w:t xml:space="preserve"> </w:t>
      </w:r>
      <w:r w:rsidRPr="00CE2A47">
        <w:rPr>
          <w:rFonts w:cs="Arial"/>
          <w:sz w:val="22"/>
          <w:szCs w:val="22"/>
          <w:lang w:val="es-CO"/>
        </w:rPr>
        <w:t>partir</w:t>
      </w:r>
      <w:r>
        <w:rPr>
          <w:sz w:val="22"/>
          <w:szCs w:val="22"/>
          <w:lang w:val="es-CO"/>
        </w:rPr>
        <w:t xml:space="preserve"> </w:t>
      </w:r>
      <w:r w:rsidRPr="00CE2A47">
        <w:rPr>
          <w:rFonts w:cs="Arial"/>
          <w:sz w:val="22"/>
          <w:szCs w:val="22"/>
          <w:lang w:val="es-CO"/>
        </w:rPr>
        <w:t>del</w:t>
      </w:r>
      <w:r>
        <w:rPr>
          <w:sz w:val="22"/>
          <w:szCs w:val="22"/>
          <w:lang w:val="es-CO"/>
        </w:rPr>
        <w:t xml:space="preserve"> </w:t>
      </w:r>
      <w:r w:rsidRPr="00CE2A47">
        <w:rPr>
          <w:rFonts w:cs="Arial"/>
          <w:sz w:val="22"/>
          <w:szCs w:val="22"/>
          <w:lang w:val="es-CO"/>
        </w:rPr>
        <w:t>mes</w:t>
      </w:r>
      <w:r>
        <w:rPr>
          <w:sz w:val="22"/>
          <w:szCs w:val="22"/>
          <w:lang w:val="es-CO"/>
        </w:rPr>
        <w:t xml:space="preserve"> </w:t>
      </w:r>
      <w:r w:rsidRPr="00CE2A47">
        <w:rPr>
          <w:rFonts w:cs="Arial"/>
          <w:sz w:val="22"/>
          <w:szCs w:val="22"/>
          <w:lang w:val="es-CO"/>
        </w:rPr>
        <w:t>de</w:t>
      </w:r>
      <w:r>
        <w:rPr>
          <w:sz w:val="22"/>
          <w:szCs w:val="22"/>
          <w:lang w:val="es-CO"/>
        </w:rPr>
        <w:t xml:space="preserve"> </w:t>
      </w:r>
      <w:r w:rsidRPr="00CE2A47">
        <w:rPr>
          <w:rFonts w:cs="Arial"/>
          <w:sz w:val="22"/>
          <w:szCs w:val="22"/>
          <w:lang w:val="es-CO"/>
        </w:rPr>
        <w:t>abril</w:t>
      </w:r>
      <w:r>
        <w:rPr>
          <w:sz w:val="22"/>
          <w:szCs w:val="22"/>
          <w:lang w:val="es-CO"/>
        </w:rPr>
        <w:t xml:space="preserve"> </w:t>
      </w:r>
      <w:r w:rsidRPr="00CE2A47">
        <w:rPr>
          <w:rFonts w:cs="Arial"/>
          <w:sz w:val="22"/>
          <w:szCs w:val="22"/>
          <w:lang w:val="es-CO"/>
        </w:rPr>
        <w:t>de</w:t>
      </w:r>
      <w:r>
        <w:rPr>
          <w:sz w:val="22"/>
          <w:szCs w:val="22"/>
          <w:lang w:val="es-CO"/>
        </w:rPr>
        <w:t xml:space="preserve"> </w:t>
      </w:r>
      <w:r w:rsidRPr="00CE2A47">
        <w:rPr>
          <w:rFonts w:cs="Arial"/>
          <w:sz w:val="22"/>
          <w:szCs w:val="22"/>
          <w:lang w:val="es-CO"/>
        </w:rPr>
        <w:t>2026,</w:t>
      </w:r>
      <w:r>
        <w:rPr>
          <w:sz w:val="22"/>
          <w:szCs w:val="22"/>
          <w:lang w:val="es-CO"/>
        </w:rPr>
        <w:t xml:space="preserve"> </w:t>
      </w:r>
      <w:r w:rsidRPr="00CE2A47">
        <w:rPr>
          <w:rFonts w:cs="Arial"/>
          <w:sz w:val="22"/>
          <w:szCs w:val="22"/>
          <w:lang w:val="es-CO"/>
        </w:rPr>
        <w:t>como</w:t>
      </w:r>
      <w:r>
        <w:rPr>
          <w:sz w:val="22"/>
          <w:szCs w:val="22"/>
          <w:lang w:val="es-CO"/>
        </w:rPr>
        <w:t xml:space="preserve"> </w:t>
      </w:r>
      <w:r w:rsidRPr="00CE2A47">
        <w:rPr>
          <w:rFonts w:cs="Arial"/>
          <w:sz w:val="22"/>
          <w:szCs w:val="22"/>
          <w:lang w:val="es-CO"/>
        </w:rPr>
        <w:t>se</w:t>
      </w:r>
      <w:r>
        <w:rPr>
          <w:sz w:val="22"/>
          <w:szCs w:val="22"/>
          <w:lang w:val="es-CO"/>
        </w:rPr>
        <w:t xml:space="preserve"> </w:t>
      </w:r>
      <w:r w:rsidRPr="00CE2A47">
        <w:rPr>
          <w:rFonts w:cs="Arial"/>
          <w:sz w:val="22"/>
          <w:szCs w:val="22"/>
          <w:lang w:val="es-CO"/>
        </w:rPr>
        <w:t>aprecia</w:t>
      </w:r>
      <w:r>
        <w:rPr>
          <w:sz w:val="22"/>
          <w:szCs w:val="22"/>
          <w:lang w:val="es-CO"/>
        </w:rPr>
        <w:t xml:space="preserve"> </w:t>
      </w:r>
      <w:r w:rsidRPr="00CE2A47">
        <w:rPr>
          <w:rFonts w:cs="Arial"/>
          <w:sz w:val="22"/>
          <w:szCs w:val="22"/>
          <w:lang w:val="es-CO"/>
        </w:rPr>
        <w:t>en</w:t>
      </w:r>
      <w:r>
        <w:rPr>
          <w:sz w:val="22"/>
          <w:szCs w:val="22"/>
          <w:lang w:val="es-CO"/>
        </w:rPr>
        <w:t xml:space="preserve"> </w:t>
      </w:r>
      <w:r w:rsidRPr="00CE2A47">
        <w:rPr>
          <w:rFonts w:cs="Arial"/>
          <w:sz w:val="22"/>
          <w:szCs w:val="22"/>
          <w:lang w:val="es-CO"/>
        </w:rPr>
        <w:t>la</w:t>
      </w:r>
      <w:r>
        <w:rPr>
          <w:sz w:val="22"/>
          <w:szCs w:val="22"/>
          <w:lang w:val="es-CO"/>
        </w:rPr>
        <w:t xml:space="preserve"> </w:t>
      </w:r>
      <w:r w:rsidRPr="000253BE">
        <w:rPr>
          <w:rFonts w:cs="Arial"/>
          <w:sz w:val="22"/>
          <w:szCs w:val="22"/>
          <w:lang w:val="es-CO"/>
        </w:rPr>
        <w:t xml:space="preserve">Figura </w:t>
      </w:r>
      <w:r w:rsidRPr="00CE2A47">
        <w:rPr>
          <w:rFonts w:cs="Arial"/>
          <w:sz w:val="22"/>
          <w:szCs w:val="22"/>
          <w:lang w:val="es-CO"/>
        </w:rPr>
        <w:fldChar w:fldCharType="begin"/>
      </w:r>
      <w:r w:rsidRPr="00CE2A47">
        <w:rPr>
          <w:rFonts w:cs="Arial"/>
          <w:sz w:val="22"/>
          <w:szCs w:val="22"/>
          <w:lang w:val="es-CO"/>
        </w:rPr>
        <w:instrText xml:space="preserve"> REF Figura_1 \* MERGEFORMAT </w:instrText>
      </w:r>
      <w:r w:rsidRPr="00CE2A47">
        <w:rPr>
          <w:rFonts w:cs="Arial"/>
          <w:sz w:val="22"/>
          <w:szCs w:val="22"/>
          <w:lang w:val="es-CO"/>
        </w:rPr>
        <w:fldChar w:fldCharType="separate"/>
      </w:r>
      <w:r w:rsidRPr="001D6FBF">
        <w:rPr>
          <w:rFonts w:cs="Arial"/>
          <w:sz w:val="22"/>
          <w:lang w:val="es-CO"/>
        </w:rPr>
        <w:t>1</w:t>
      </w:r>
      <w:r w:rsidRPr="00CE2A47">
        <w:rPr>
          <w:rFonts w:cs="Arial"/>
          <w:sz w:val="22"/>
          <w:szCs w:val="22"/>
          <w:lang w:val="es-CO"/>
        </w:rPr>
        <w:fldChar w:fldCharType="end"/>
      </w:r>
      <w:r w:rsidRPr="00CE2A47">
        <w:rPr>
          <w:rFonts w:cs="Arial"/>
          <w:sz w:val="22"/>
          <w:szCs w:val="22"/>
          <w:lang w:val="es-CO"/>
        </w:rPr>
        <w:t>.</w:t>
      </w:r>
      <w:r>
        <w:rPr>
          <w:sz w:val="22"/>
          <w:szCs w:val="22"/>
          <w:lang w:val="es-CO"/>
        </w:rPr>
        <w:t xml:space="preserve"> </w:t>
      </w:r>
      <w:r w:rsidRPr="00E63D02">
        <w:rPr>
          <w:rFonts w:cs="Arial"/>
          <w:sz w:val="22"/>
          <w:szCs w:val="22"/>
          <w:lang w:val="es-CO"/>
        </w:rPr>
        <w:t>Con un criterio conservador</w:t>
      </w:r>
      <w:r>
        <w:rPr>
          <w:sz w:val="22"/>
          <w:szCs w:val="22"/>
          <w:lang w:val="es-CO"/>
        </w:rPr>
        <w:t xml:space="preserve"> </w:t>
      </w:r>
      <w:r w:rsidRPr="00CE2A47">
        <w:rPr>
          <w:rFonts w:cs="Arial"/>
          <w:sz w:val="22"/>
          <w:szCs w:val="22"/>
          <w:lang w:val="es-CO"/>
        </w:rPr>
        <w:t>se</w:t>
      </w:r>
      <w:r>
        <w:rPr>
          <w:sz w:val="22"/>
          <w:szCs w:val="22"/>
          <w:lang w:val="es-CO"/>
        </w:rPr>
        <w:t xml:space="preserve"> </w:t>
      </w:r>
      <w:r w:rsidRPr="00CE2A47">
        <w:rPr>
          <w:rFonts w:cs="Arial"/>
          <w:sz w:val="22"/>
          <w:szCs w:val="22"/>
          <w:lang w:val="es-CO"/>
        </w:rPr>
        <w:t>acoge</w:t>
      </w:r>
      <w:r>
        <w:rPr>
          <w:sz w:val="22"/>
          <w:szCs w:val="22"/>
          <w:lang w:val="es-CO"/>
        </w:rPr>
        <w:t xml:space="preserve"> </w:t>
      </w:r>
      <w:r w:rsidRPr="00CE2A47">
        <w:rPr>
          <w:rFonts w:cs="Arial"/>
          <w:sz w:val="22"/>
          <w:szCs w:val="22"/>
          <w:lang w:val="es-CO"/>
        </w:rPr>
        <w:t>el</w:t>
      </w:r>
      <w:r>
        <w:rPr>
          <w:sz w:val="22"/>
          <w:szCs w:val="22"/>
          <w:lang w:val="es-CO"/>
        </w:rPr>
        <w:t xml:space="preserve"> </w:t>
      </w:r>
      <w:r w:rsidRPr="00CE2A47">
        <w:rPr>
          <w:rFonts w:cs="Arial"/>
          <w:sz w:val="22"/>
          <w:szCs w:val="22"/>
          <w:lang w:val="es-CO"/>
        </w:rPr>
        <w:t>escenario</w:t>
      </w:r>
      <w:r>
        <w:rPr>
          <w:sz w:val="22"/>
          <w:szCs w:val="22"/>
          <w:lang w:val="es-CO"/>
        </w:rPr>
        <w:t xml:space="preserve"> </w:t>
      </w:r>
      <w:r w:rsidRPr="00CE2A47">
        <w:rPr>
          <w:rFonts w:cs="Arial"/>
          <w:sz w:val="22"/>
          <w:szCs w:val="22"/>
          <w:lang w:val="es-CO"/>
        </w:rPr>
        <w:t>medio</w:t>
      </w:r>
      <w:r>
        <w:rPr>
          <w:sz w:val="22"/>
          <w:szCs w:val="22"/>
          <w:lang w:val="es-CO"/>
        </w:rPr>
        <w:t xml:space="preserve"> </w:t>
      </w:r>
      <w:r w:rsidRPr="00CE2A47">
        <w:rPr>
          <w:rFonts w:cs="Arial"/>
          <w:sz w:val="22"/>
          <w:szCs w:val="22"/>
          <w:lang w:val="es-CO"/>
        </w:rPr>
        <w:t>de</w:t>
      </w:r>
      <w:r>
        <w:rPr>
          <w:sz w:val="22"/>
          <w:szCs w:val="22"/>
          <w:lang w:val="es-CO"/>
        </w:rPr>
        <w:t xml:space="preserve"> </w:t>
      </w:r>
      <w:r w:rsidRPr="00CE2A47">
        <w:rPr>
          <w:rFonts w:cs="Arial"/>
          <w:sz w:val="22"/>
          <w:szCs w:val="22"/>
          <w:lang w:val="es-CO"/>
        </w:rPr>
        <w:t>la</w:t>
      </w:r>
      <w:r>
        <w:rPr>
          <w:sz w:val="22"/>
          <w:szCs w:val="22"/>
          <w:lang w:val="es-CO"/>
        </w:rPr>
        <w:t xml:space="preserve"> </w:t>
      </w:r>
      <w:r w:rsidRPr="00CE2A47">
        <w:rPr>
          <w:rFonts w:cs="Arial"/>
          <w:sz w:val="22"/>
          <w:szCs w:val="22"/>
          <w:lang w:val="es-CO"/>
        </w:rPr>
        <w:t>UPME,</w:t>
      </w:r>
      <w:r>
        <w:rPr>
          <w:sz w:val="22"/>
          <w:szCs w:val="22"/>
          <w:lang w:val="es-CO"/>
        </w:rPr>
        <w:t xml:space="preserve"> </w:t>
      </w:r>
      <w:r w:rsidRPr="00CE2A47">
        <w:rPr>
          <w:rFonts w:cs="Arial"/>
          <w:sz w:val="22"/>
          <w:szCs w:val="22"/>
          <w:lang w:val="es-CO"/>
        </w:rPr>
        <w:t>que</w:t>
      </w:r>
      <w:r>
        <w:rPr>
          <w:sz w:val="22"/>
          <w:szCs w:val="22"/>
          <w:lang w:val="es-CO"/>
        </w:rPr>
        <w:t xml:space="preserve"> </w:t>
      </w:r>
      <w:r w:rsidRPr="00CE2A47">
        <w:rPr>
          <w:rFonts w:cs="Arial"/>
          <w:sz w:val="22"/>
          <w:szCs w:val="22"/>
          <w:lang w:val="es-CO"/>
        </w:rPr>
        <w:t>resulta</w:t>
      </w:r>
      <w:r>
        <w:rPr>
          <w:sz w:val="22"/>
          <w:szCs w:val="22"/>
          <w:lang w:val="es-CO"/>
        </w:rPr>
        <w:t xml:space="preserve"> </w:t>
      </w:r>
      <w:r w:rsidRPr="00E63D02">
        <w:rPr>
          <w:rFonts w:cs="Arial"/>
          <w:sz w:val="22"/>
          <w:szCs w:val="22"/>
          <w:lang w:val="es-CO"/>
        </w:rPr>
        <w:t>superior a</w:t>
      </w:r>
      <w:r w:rsidRPr="00CE2A47">
        <w:rPr>
          <w:rFonts w:cs="Arial"/>
          <w:sz w:val="22"/>
          <w:szCs w:val="22"/>
          <w:lang w:val="es-CO"/>
        </w:rPr>
        <w:t>l</w:t>
      </w:r>
      <w:r>
        <w:rPr>
          <w:sz w:val="22"/>
          <w:szCs w:val="22"/>
          <w:lang w:val="es-CO"/>
        </w:rPr>
        <w:t xml:space="preserve"> </w:t>
      </w:r>
      <w:r w:rsidRPr="00CE2A47">
        <w:rPr>
          <w:rFonts w:cs="Arial"/>
          <w:sz w:val="22"/>
          <w:szCs w:val="22"/>
          <w:lang w:val="es-CO"/>
        </w:rPr>
        <w:t>valor</w:t>
      </w:r>
      <w:r>
        <w:rPr>
          <w:sz w:val="22"/>
          <w:szCs w:val="22"/>
          <w:lang w:val="es-CO"/>
        </w:rPr>
        <w:t xml:space="preserve"> </w:t>
      </w:r>
      <w:r w:rsidRPr="00CE2A47">
        <w:rPr>
          <w:rFonts w:cs="Arial"/>
          <w:sz w:val="22"/>
          <w:szCs w:val="22"/>
          <w:lang w:val="es-CO"/>
        </w:rPr>
        <w:t>real</w:t>
      </w:r>
      <w:r>
        <w:rPr>
          <w:sz w:val="22"/>
          <w:szCs w:val="22"/>
          <w:lang w:val="es-CO"/>
        </w:rPr>
        <w:t xml:space="preserve"> </w:t>
      </w:r>
      <w:r w:rsidRPr="00CE2A47">
        <w:rPr>
          <w:rFonts w:cs="Arial"/>
          <w:sz w:val="22"/>
          <w:szCs w:val="22"/>
          <w:lang w:val="es-CO"/>
        </w:rPr>
        <w:t>observado.</w:t>
      </w:r>
    </w:p>
    <w:p w14:paraId="498C4E82" w14:textId="77777777" w:rsidR="008838A5" w:rsidRDefault="008838A5" w:rsidP="008838A5">
      <w:pPr>
        <w:jc w:val="center"/>
        <w:rPr>
          <w:sz w:val="22"/>
          <w:szCs w:val="22"/>
          <w:lang w:val="es-CO"/>
        </w:rPr>
      </w:pPr>
      <w:r w:rsidRPr="00E47E3C">
        <w:rPr>
          <w:noProof/>
          <w:sz w:val="22"/>
          <w:szCs w:val="22"/>
        </w:rPr>
        <w:drawing>
          <wp:inline distT="0" distB="0" distL="0" distR="0" wp14:anchorId="1DE82970" wp14:editId="6E8A777D">
            <wp:extent cx="5490329" cy="2880000"/>
            <wp:effectExtent l="0" t="0" r="0" b="3175"/>
            <wp:docPr id="3" name="Imagen 2">
              <a:extLst xmlns:a="http://schemas.openxmlformats.org/drawingml/2006/main">
                <a:ext uri="{FF2B5EF4-FFF2-40B4-BE49-F238E27FC236}">
                  <a16:creationId xmlns:a16="http://schemas.microsoft.com/office/drawing/2014/main" id="{B7E41E5C-4440-1422-2B7E-34F115B1FE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B7E41E5C-4440-1422-2B7E-34F115B1FE1E}"/>
                        </a:ext>
                      </a:extLst>
                    </pic:cNvPr>
                    <pic:cNvPicPr>
                      <a:picLocks noChangeAspect="1"/>
                    </pic:cNvPicPr>
                  </pic:nvPicPr>
                  <pic:blipFill>
                    <a:blip r:embed="rId9"/>
                    <a:stretch>
                      <a:fillRect/>
                    </a:stretch>
                  </pic:blipFill>
                  <pic:spPr>
                    <a:xfrm>
                      <a:off x="0" y="0"/>
                      <a:ext cx="5490329" cy="2880000"/>
                    </a:xfrm>
                    <a:prstGeom prst="rect">
                      <a:avLst/>
                    </a:prstGeom>
                  </pic:spPr>
                </pic:pic>
              </a:graphicData>
            </a:graphic>
          </wp:inline>
        </w:drawing>
      </w:r>
    </w:p>
    <w:p w14:paraId="26AC9F15" w14:textId="77777777" w:rsidR="008838A5" w:rsidRPr="00B44393" w:rsidRDefault="008838A5" w:rsidP="008838A5">
      <w:pPr>
        <w:pStyle w:val="Descripcin"/>
        <w:jc w:val="center"/>
        <w:rPr>
          <w:rFonts w:cs="Arial"/>
          <w:color w:val="44546A"/>
          <w:lang w:val="es-CO"/>
        </w:rPr>
      </w:pPr>
      <w:r w:rsidRPr="00B44393">
        <w:rPr>
          <w:rFonts w:cs="Arial"/>
          <w:color w:val="44546A"/>
          <w:lang w:val="es-CO"/>
        </w:rPr>
        <w:t xml:space="preserve">Figura </w:t>
      </w:r>
      <w:r w:rsidRPr="00B44393">
        <w:rPr>
          <w:rFonts w:cs="Arial"/>
          <w:color w:val="44546A"/>
          <w:lang w:val="es-CO"/>
        </w:rPr>
        <w:fldChar w:fldCharType="begin"/>
      </w:r>
      <w:r w:rsidRPr="00B44393">
        <w:rPr>
          <w:rFonts w:cs="Arial"/>
          <w:color w:val="44546A"/>
          <w:lang w:val="es-CO"/>
        </w:rPr>
        <w:instrText xml:space="preserve"> SEQ Figura \* ARABIC \* MERGEFORMAT </w:instrText>
      </w:r>
      <w:r w:rsidRPr="00B44393">
        <w:rPr>
          <w:rFonts w:cs="Arial"/>
          <w:color w:val="44546A"/>
          <w:lang w:val="es-CO"/>
        </w:rPr>
        <w:fldChar w:fldCharType="separate"/>
      </w:r>
      <w:bookmarkStart w:id="9" w:name="Figura_1"/>
      <w:r>
        <w:rPr>
          <w:rFonts w:cs="Arial"/>
          <w:noProof/>
          <w:color w:val="44546A"/>
          <w:lang w:val="es-CO"/>
        </w:rPr>
        <w:t>1</w:t>
      </w:r>
      <w:bookmarkEnd w:id="9"/>
      <w:r w:rsidRPr="00B44393">
        <w:rPr>
          <w:rFonts w:cs="Arial"/>
          <w:color w:val="44546A"/>
          <w:lang w:val="es-CO"/>
        </w:rPr>
        <w:fldChar w:fldCharType="end"/>
      </w:r>
      <w:r w:rsidRPr="00B44393">
        <w:rPr>
          <w:rFonts w:cs="Arial"/>
          <w:color w:val="44546A"/>
          <w:lang w:val="es-CO"/>
        </w:rPr>
        <w:t xml:space="preserve">. Proyección mensual de demanda de energía del SIN: escenario medio de la UPME, revisión de agosto de 2026, y demanda real de los meses transcurridos del año hidrológico. Fuente: </w:t>
      </w:r>
      <w:proofErr w:type="spellStart"/>
      <w:r w:rsidRPr="00B44393">
        <w:rPr>
          <w:rFonts w:cs="Arial"/>
          <w:color w:val="44546A"/>
          <w:lang w:val="es-CO"/>
        </w:rPr>
        <w:t>Sinergox</w:t>
      </w:r>
      <w:proofErr w:type="spellEnd"/>
      <w:r w:rsidRPr="00B44393">
        <w:rPr>
          <w:rFonts w:cs="Arial"/>
          <w:color w:val="44546A"/>
          <w:lang w:val="es-CO"/>
        </w:rPr>
        <w:t>, cálculos CREG.</w:t>
      </w:r>
    </w:p>
    <w:p w14:paraId="475F9D01" w14:textId="77777777" w:rsidR="008838A5" w:rsidRDefault="008838A5" w:rsidP="008838A5">
      <w:pPr>
        <w:pStyle w:val="Ttulo2"/>
        <w:spacing w:before="280" w:after="200"/>
        <w:rPr>
          <w:sz w:val="22"/>
          <w:szCs w:val="22"/>
          <w:lang w:val="es-CO"/>
        </w:rPr>
      </w:pPr>
      <w:bookmarkStart w:id="10" w:name="_Toc239520989"/>
      <w:r>
        <w:rPr>
          <w:sz w:val="22"/>
          <w:szCs w:val="22"/>
          <w:lang w:val="es-CO"/>
        </w:rPr>
        <w:t>Serie Crítica de Aportes Hídricos</w:t>
      </w:r>
      <w:bookmarkEnd w:id="10"/>
    </w:p>
    <w:p w14:paraId="3A1707EE" w14:textId="77777777" w:rsidR="008838A5" w:rsidRDefault="008838A5" w:rsidP="008838A5">
      <w:pPr>
        <w:spacing w:after="160"/>
        <w:rPr>
          <w:sz w:val="22"/>
          <w:szCs w:val="22"/>
          <w:lang w:val="es-CO"/>
        </w:rPr>
      </w:pPr>
      <w:r>
        <w:rPr>
          <w:b/>
          <w:sz w:val="22"/>
          <w:szCs w:val="22"/>
          <w:lang w:val="es-CO"/>
        </w:rPr>
        <w:t>Determinación: se acoge la propuesta del CND y CNO.</w:t>
      </w:r>
      <w:r>
        <w:rPr>
          <w:sz w:val="22"/>
          <w:szCs w:val="22"/>
          <w:lang w:val="es-CO"/>
        </w:rPr>
        <w:t xml:space="preserve"> Se empalman los aportes reales de los meses transcurridos del año hidrológico con la serie histórica identificada como la más </w:t>
      </w:r>
      <w:r>
        <w:rPr>
          <w:sz w:val="22"/>
          <w:szCs w:val="22"/>
          <w:lang w:val="es-CO"/>
        </w:rPr>
        <w:lastRenderedPageBreak/>
        <w:t>deficitaria registrada en el SIN para un año hidrológico completo, aplicada a los meses restantes del horizonte.</w:t>
      </w:r>
    </w:p>
    <w:p w14:paraId="209803C3" w14:textId="77777777" w:rsidR="008838A5" w:rsidRDefault="008838A5" w:rsidP="008838A5">
      <w:pPr>
        <w:spacing w:after="160"/>
        <w:rPr>
          <w:sz w:val="22"/>
          <w:szCs w:val="22"/>
          <w:lang w:val="es-CO"/>
        </w:rPr>
      </w:pPr>
      <w:r>
        <w:rPr>
          <w:sz w:val="22"/>
          <w:szCs w:val="22"/>
          <w:lang w:val="es-CO"/>
        </w:rPr>
        <w:t>El Anexo 1 exige una serie mensual “representativa de hidrología severa” sin fijar el criterio de selección. La Comisión adopta el criterio de mínimo histórico registrado por tres razones. Primera, es un criterio objetivo y verificable, que no depende de un modelo de pronóstico ni de la evolución de un índice climático, cuya incorporación introduciría discrecionalidad y haría el cálculo no replicable. Segunda, la serie seleccionada preserva la estructura temporal de un evento efectivamente observado, con la correlación entre meses y entre cuencas. Tercera, ambas propuestas coinciden en la serie seleccionada.</w:t>
      </w:r>
    </w:p>
    <w:p w14:paraId="02D52291" w14:textId="77777777" w:rsidR="008838A5" w:rsidRDefault="008838A5" w:rsidP="008838A5">
      <w:pPr>
        <w:spacing w:after="160"/>
        <w:rPr>
          <w:sz w:val="22"/>
          <w:szCs w:val="22"/>
          <w:lang w:val="es-CO"/>
        </w:rPr>
      </w:pPr>
      <w:r>
        <w:rPr>
          <w:sz w:val="22"/>
          <w:szCs w:val="22"/>
          <w:lang w:val="es-CO"/>
        </w:rPr>
        <w:t xml:space="preserve">El empalme con los aportes observados de los meses ya transcurridos evita que el ejercicio parta de un estado del sistema que no corresponde al real. </w:t>
      </w:r>
      <w:r w:rsidRPr="00E63D02">
        <w:rPr>
          <w:rFonts w:cs="Arial"/>
          <w:sz w:val="22"/>
          <w:szCs w:val="22"/>
          <w:lang w:val="es-CO"/>
        </w:rPr>
        <w:t>Se</w:t>
      </w:r>
      <w:r>
        <w:rPr>
          <w:sz w:val="22"/>
          <w:szCs w:val="22"/>
          <w:lang w:val="es-CO"/>
        </w:rPr>
        <w:t xml:space="preserve"> recuerda que el parágrafo 1 del artículo 8 permite actualizar el cálculo en cualquier momento cuando el CND o el CNO indiquen que las curvas ya no representan los supuestos de las variables de entrada, mecanismo al que deberá acudirse si los aportes observados se apartan de manera sostenida de la serie adoptada.</w:t>
      </w:r>
    </w:p>
    <w:p w14:paraId="459BB62B" w14:textId="77777777" w:rsidR="008838A5" w:rsidRDefault="008838A5" w:rsidP="008838A5">
      <w:pPr>
        <w:jc w:val="center"/>
        <w:rPr>
          <w:sz w:val="22"/>
          <w:szCs w:val="22"/>
          <w:lang w:val="es-CO"/>
        </w:rPr>
      </w:pPr>
      <w:r w:rsidRPr="00E47E3C">
        <w:rPr>
          <w:noProof/>
          <w:sz w:val="22"/>
          <w:szCs w:val="22"/>
        </w:rPr>
        <w:drawing>
          <wp:inline distT="0" distB="0" distL="0" distR="0" wp14:anchorId="5116F364" wp14:editId="78841C44">
            <wp:extent cx="4721858" cy="2880000"/>
            <wp:effectExtent l="12700" t="12700" r="15875" b="15875"/>
            <wp:docPr id="9" name="Imagen 8">
              <a:extLst xmlns:a="http://schemas.openxmlformats.org/drawingml/2006/main">
                <a:ext uri="{FF2B5EF4-FFF2-40B4-BE49-F238E27FC236}">
                  <a16:creationId xmlns:a16="http://schemas.microsoft.com/office/drawing/2014/main" id="{99E50219-A759-7A88-1755-63E52FDF87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a:extLst>
                        <a:ext uri="{FF2B5EF4-FFF2-40B4-BE49-F238E27FC236}">
                          <a16:creationId xmlns:a16="http://schemas.microsoft.com/office/drawing/2014/main" id="{99E50219-A759-7A88-1755-63E52FDF8736}"/>
                        </a:ext>
                      </a:extLst>
                    </pic:cNvPr>
                    <pic:cNvPicPr>
                      <a:picLocks noChangeAspect="1"/>
                    </pic:cNvPicPr>
                  </pic:nvPicPr>
                  <pic:blipFill>
                    <a:blip r:embed="rId10"/>
                    <a:stretch>
                      <a:fillRect/>
                    </a:stretch>
                  </pic:blipFill>
                  <pic:spPr>
                    <a:xfrm>
                      <a:off x="0" y="0"/>
                      <a:ext cx="4721858" cy="2880000"/>
                    </a:xfrm>
                    <a:prstGeom prst="rect">
                      <a:avLst/>
                    </a:prstGeom>
                    <a:ln>
                      <a:solidFill>
                        <a:schemeClr val="bg1">
                          <a:lumMod val="85000"/>
                        </a:schemeClr>
                      </a:solidFill>
                    </a:ln>
                  </pic:spPr>
                </pic:pic>
              </a:graphicData>
            </a:graphic>
          </wp:inline>
        </w:drawing>
      </w:r>
    </w:p>
    <w:p w14:paraId="01A870E2" w14:textId="77777777" w:rsidR="008838A5" w:rsidRPr="00B44393" w:rsidRDefault="008838A5" w:rsidP="008838A5">
      <w:pPr>
        <w:pStyle w:val="Descripcin"/>
        <w:jc w:val="center"/>
        <w:rPr>
          <w:rFonts w:cs="Arial"/>
          <w:color w:val="44546A"/>
          <w:lang w:val="es-CO"/>
        </w:rPr>
      </w:pPr>
      <w:r w:rsidRPr="00B44393">
        <w:rPr>
          <w:rFonts w:cs="Arial"/>
          <w:color w:val="44546A"/>
          <w:lang w:val="es-CO"/>
        </w:rPr>
        <w:t xml:space="preserve">Figura </w:t>
      </w:r>
      <w:r w:rsidRPr="00B44393">
        <w:rPr>
          <w:rFonts w:cs="Arial"/>
          <w:color w:val="44546A"/>
          <w:lang w:val="es-CO"/>
        </w:rPr>
        <w:fldChar w:fldCharType="begin"/>
      </w:r>
      <w:r w:rsidRPr="00B44393">
        <w:rPr>
          <w:rFonts w:cs="Arial"/>
          <w:color w:val="44546A"/>
          <w:lang w:val="es-CO"/>
        </w:rPr>
        <w:instrText xml:space="preserve"> SEQ Figura \* ARABIC \* MERGEFORMAT </w:instrText>
      </w:r>
      <w:r w:rsidRPr="00B44393">
        <w:rPr>
          <w:rFonts w:cs="Arial"/>
          <w:color w:val="44546A"/>
          <w:lang w:val="es-CO"/>
        </w:rPr>
        <w:fldChar w:fldCharType="separate"/>
      </w:r>
      <w:r>
        <w:rPr>
          <w:rFonts w:cs="Arial"/>
          <w:noProof/>
          <w:color w:val="44546A"/>
          <w:lang w:val="es-CO"/>
        </w:rPr>
        <w:t>2</w:t>
      </w:r>
      <w:r w:rsidRPr="00B44393">
        <w:rPr>
          <w:rFonts w:cs="Arial"/>
          <w:color w:val="44546A"/>
          <w:lang w:val="es-CO"/>
        </w:rPr>
        <w:fldChar w:fldCharType="end"/>
      </w:r>
      <w:r w:rsidRPr="00B44393">
        <w:rPr>
          <w:rFonts w:cs="Arial"/>
          <w:color w:val="44546A"/>
          <w:lang w:val="es-CO"/>
        </w:rPr>
        <w:t xml:space="preserve">. Serie crítica de aportes hídricos al embalse parcial: aportes observados de los meses transcurridos del año hidrológico empalmados con la serie histórica 2015-2016. </w:t>
      </w:r>
    </w:p>
    <w:p w14:paraId="35FF4FBD" w14:textId="77777777" w:rsidR="008838A5" w:rsidRDefault="008838A5" w:rsidP="008838A5">
      <w:pPr>
        <w:pStyle w:val="Ttulo2"/>
        <w:spacing w:before="280" w:after="200"/>
        <w:rPr>
          <w:sz w:val="22"/>
          <w:szCs w:val="22"/>
          <w:lang w:val="es-CO"/>
        </w:rPr>
      </w:pPr>
      <w:bookmarkStart w:id="11" w:name="_Toc239520990"/>
      <w:r>
        <w:rPr>
          <w:sz w:val="22"/>
          <w:szCs w:val="22"/>
          <w:lang w:val="es-CO"/>
        </w:rPr>
        <w:t>Escalones de Generación Térmica Objetivo</w:t>
      </w:r>
      <w:bookmarkEnd w:id="11"/>
    </w:p>
    <w:p w14:paraId="1EA2E400" w14:textId="77777777" w:rsidR="008838A5" w:rsidRDefault="008838A5" w:rsidP="008838A5">
      <w:pPr>
        <w:spacing w:after="160"/>
        <w:rPr>
          <w:sz w:val="22"/>
          <w:szCs w:val="22"/>
          <w:lang w:val="es-CO"/>
        </w:rPr>
      </w:pPr>
      <w:r>
        <w:rPr>
          <w:b/>
          <w:sz w:val="22"/>
          <w:szCs w:val="22"/>
          <w:lang w:val="es-CO"/>
        </w:rPr>
        <w:t>Determinación: la Comisión se aparta parcialmente de la propuesta del CND.</w:t>
      </w:r>
      <w:r>
        <w:rPr>
          <w:sz w:val="22"/>
          <w:szCs w:val="22"/>
          <w:lang w:val="es-CO"/>
        </w:rPr>
        <w:t xml:space="preserve"> El valor mínimo del escalonamiento de generación térmica objetivo se fija en </w:t>
      </w:r>
      <w:r>
        <w:rPr>
          <w:b/>
          <w:sz w:val="22"/>
          <w:szCs w:val="22"/>
          <w:lang w:val="es-CO"/>
        </w:rPr>
        <w:t>80 GWh/día</w:t>
      </w:r>
      <w:r>
        <w:rPr>
          <w:sz w:val="22"/>
          <w:szCs w:val="22"/>
          <w:lang w:val="es-CO"/>
        </w:rPr>
        <w:t xml:space="preserve"> y el valor máximo en la última ENFICC verificada del parque térmico. El paso se mantiene en cinco (5) GWh/día, conforme al literal b. del numeral 2 del Anexo 1.</w:t>
      </w:r>
    </w:p>
    <w:p w14:paraId="6A1186E0" w14:textId="77777777" w:rsidR="008838A5" w:rsidRDefault="008838A5" w:rsidP="008838A5">
      <w:pPr>
        <w:spacing w:after="160"/>
        <w:rPr>
          <w:sz w:val="22"/>
          <w:szCs w:val="22"/>
          <w:lang w:val="es-CO"/>
        </w:rPr>
      </w:pPr>
      <w:r>
        <w:rPr>
          <w:sz w:val="22"/>
          <w:szCs w:val="22"/>
          <w:lang w:val="es-CO"/>
        </w:rPr>
        <w:t>El Anexo 1 fija el paso y el valor máximo del escalonamiento, pero deja a la determinación de la Comisión el valor mínimo. Ese valor no es un supuesto físico del balance sino una decisión sobre el rango que el mapa de curvas debe cubrir, y debe responder a un criterio de utilidad regulatoria: el escalonamiento ha de abarcar los niveles de generación térmica objetivo que sean a la vez físicamente alcanzables y relevantes para la aplicación de las  .</w:t>
      </w:r>
    </w:p>
    <w:p w14:paraId="3D702607" w14:textId="77777777" w:rsidR="008838A5" w:rsidRDefault="008838A5" w:rsidP="008838A5">
      <w:pPr>
        <w:spacing w:after="160"/>
        <w:rPr>
          <w:sz w:val="22"/>
          <w:szCs w:val="22"/>
          <w:lang w:val="es-CO"/>
        </w:rPr>
      </w:pPr>
      <w:r>
        <w:rPr>
          <w:sz w:val="22"/>
          <w:szCs w:val="22"/>
          <w:lang w:val="es-CO"/>
        </w:rPr>
        <w:lastRenderedPageBreak/>
        <w:t xml:space="preserve">La propuesta del CND inicia el escalonamiento en un valor inferior al determinado. </w:t>
      </w:r>
      <w:r w:rsidRPr="003749E9">
        <w:rPr>
          <w:rFonts w:cs="Arial"/>
          <w:sz w:val="22"/>
          <w:szCs w:val="22"/>
          <w:lang w:val="es-CO"/>
        </w:rPr>
        <w:t>No se</w:t>
      </w:r>
      <w:r>
        <w:rPr>
          <w:sz w:val="22"/>
          <w:szCs w:val="22"/>
          <w:lang w:val="es-CO"/>
        </w:rPr>
        <w:t xml:space="preserve"> acoge ese valor mínimo, por las siguientes razones:</w:t>
      </w:r>
    </w:p>
    <w:p w14:paraId="126FAE8A" w14:textId="77777777" w:rsidR="008838A5" w:rsidRDefault="008838A5" w:rsidP="008838A5">
      <w:pPr>
        <w:pStyle w:val="Prrafodelista"/>
        <w:numPr>
          <w:ilvl w:val="0"/>
          <w:numId w:val="7"/>
        </w:numPr>
        <w:spacing w:after="120"/>
        <w:ind w:left="709" w:hanging="357"/>
        <w:rPr>
          <w:sz w:val="22"/>
          <w:szCs w:val="22"/>
          <w:lang w:val="es-CO"/>
        </w:rPr>
      </w:pPr>
      <w:r>
        <w:rPr>
          <w:b/>
          <w:sz w:val="22"/>
          <w:szCs w:val="22"/>
          <w:lang w:val="es-CO"/>
        </w:rPr>
        <w:t>Los escalones inferiores producen curvas acotadas.</w:t>
      </w:r>
      <w:r>
        <w:rPr>
          <w:sz w:val="22"/>
          <w:szCs w:val="22"/>
          <w:lang w:val="es-CO"/>
        </w:rPr>
        <w:t xml:space="preserve"> El procedimiento del Anexo 1 aplica las cotas inferior y superior en cada mes antes de continuar el retroceso. Para los escalones de menor generación térmica objetivo, la recursión hacia atrás arroja niveles de referencia que exceden la capacidad útil del embalse parcial durante una parte relevante del horizonte, de modo que quedan acotados por el límite del cien por ciento. Con un valor mínimo de 70 GWh/día, las dos primeras curvas del escalonamiento quedan acotadas de esa forma durante buena parte del período de invierno y </w:t>
      </w:r>
      <w:r w:rsidRPr="004154C9">
        <w:rPr>
          <w:rFonts w:cs="Arial"/>
          <w:sz w:val="22"/>
          <w:szCs w:val="22"/>
          <w:lang w:val="es-CO"/>
        </w:rPr>
        <w:t>describen un estado que exigiría</w:t>
      </w:r>
      <w:r>
        <w:rPr>
          <w:sz w:val="22"/>
          <w:szCs w:val="22"/>
          <w:lang w:val="es-CO"/>
        </w:rPr>
        <w:t xml:space="preserve"> mantener el embalse en el cien por ciento de su volumen útil; con un valor mínimo de 80 GWh/día no se presenta ese acotamiento. </w:t>
      </w:r>
    </w:p>
    <w:p w14:paraId="6187AF5C" w14:textId="77777777" w:rsidR="008838A5" w:rsidRDefault="008838A5" w:rsidP="008838A5">
      <w:pPr>
        <w:pStyle w:val="Prrafodelista"/>
        <w:numPr>
          <w:ilvl w:val="0"/>
          <w:numId w:val="7"/>
        </w:numPr>
        <w:spacing w:after="120"/>
        <w:ind w:left="709" w:hanging="357"/>
        <w:rPr>
          <w:sz w:val="22"/>
          <w:szCs w:val="22"/>
          <w:lang w:val="es-CO"/>
        </w:rPr>
      </w:pPr>
      <w:r>
        <w:rPr>
          <w:b/>
          <w:sz w:val="22"/>
          <w:szCs w:val="22"/>
          <w:lang w:val="es-CO"/>
        </w:rPr>
        <w:t>No describen estados operativamente exigibles.</w:t>
      </w:r>
      <w:r>
        <w:rPr>
          <w:sz w:val="22"/>
          <w:szCs w:val="22"/>
          <w:lang w:val="es-CO"/>
        </w:rPr>
        <w:t xml:space="preserve"> Una curva que requiere un embalse por encima de su capacidad útil no representa un estado alcanzable del sistema. Su permanencia en el mapa no aporta información para la definición del valor mínimo de generación térmica del artículo 10 ni para el seguimiento de los indicadores del artículo 4.</w:t>
      </w:r>
    </w:p>
    <w:p w14:paraId="2D5F4459" w14:textId="77777777" w:rsidR="008838A5" w:rsidRDefault="008838A5" w:rsidP="008838A5">
      <w:pPr>
        <w:pStyle w:val="Prrafodelista"/>
        <w:numPr>
          <w:ilvl w:val="0"/>
          <w:numId w:val="7"/>
        </w:numPr>
        <w:spacing w:after="120"/>
        <w:ind w:left="709" w:hanging="357"/>
        <w:rPr>
          <w:sz w:val="22"/>
          <w:szCs w:val="22"/>
          <w:lang w:val="es-CO"/>
        </w:rPr>
      </w:pPr>
      <w:r>
        <w:rPr>
          <w:b/>
          <w:sz w:val="22"/>
          <w:szCs w:val="22"/>
          <w:lang w:val="es-CO"/>
        </w:rPr>
        <w:t>Convergencia con la propuesta del CNO.</w:t>
      </w:r>
      <w:r>
        <w:rPr>
          <w:sz w:val="22"/>
          <w:szCs w:val="22"/>
          <w:lang w:val="es-CO"/>
        </w:rPr>
        <w:t xml:space="preserve"> El Consejo Nacional de Operación propone iniciar el escalonamiento en el mismo valor que aquí se determina, con lo cual la decisión no introduce un criterio ajeno a las dos instancias técnicas que participaron en el procedimiento.</w:t>
      </w:r>
    </w:p>
    <w:p w14:paraId="3ACDE1B3" w14:textId="77777777" w:rsidR="008838A5" w:rsidRDefault="008838A5" w:rsidP="008838A5">
      <w:pPr>
        <w:pStyle w:val="Prrafodelista"/>
        <w:numPr>
          <w:ilvl w:val="0"/>
          <w:numId w:val="7"/>
        </w:numPr>
        <w:spacing w:after="120"/>
        <w:ind w:left="709" w:hanging="357"/>
        <w:rPr>
          <w:sz w:val="22"/>
          <w:szCs w:val="22"/>
          <w:lang w:val="es-CO"/>
        </w:rPr>
      </w:pPr>
      <w:r>
        <w:rPr>
          <w:b/>
          <w:sz w:val="22"/>
          <w:szCs w:val="22"/>
          <w:lang w:val="es-CO"/>
        </w:rPr>
        <w:t>Se preserva resolución en la zona de seguimiento.</w:t>
      </w:r>
      <w:r>
        <w:rPr>
          <w:sz w:val="22"/>
          <w:szCs w:val="22"/>
          <w:lang w:val="es-CO"/>
        </w:rPr>
        <w:t xml:space="preserve"> El valor determinado mantiene al menos un escalón por encima del umbral ISO-térmica, de manera que el mapa conserva capacidad de discriminación en el rango de niveles de embalse sujeto a seguimiento y monitoreo, y permite anticipar el acercamiento al umbral antes de la activación del Estatuto de Riesgo de Desabastecimiento.</w:t>
      </w:r>
    </w:p>
    <w:p w14:paraId="075861EE" w14:textId="77777777" w:rsidR="008838A5" w:rsidRPr="00FE635B" w:rsidRDefault="008838A5" w:rsidP="008838A5">
      <w:pPr>
        <w:spacing w:after="160"/>
        <w:rPr>
          <w:rFonts w:cs="Arial"/>
          <w:sz w:val="22"/>
          <w:szCs w:val="22"/>
          <w:lang w:val="es-CO"/>
        </w:rPr>
      </w:pPr>
      <w:r>
        <w:rPr>
          <w:sz w:val="22"/>
          <w:szCs w:val="22"/>
          <w:lang w:val="es-CO"/>
        </w:rPr>
        <w:t xml:space="preserve">Sobre el límite superior del escalonamiento, el literal b. del numeral 2 del Anexo 1 lo fija en la ENFICC del parque térmico. Las dos propuestas extienden el escalonamiento hasta el primer escalón que supera ese valor. </w:t>
      </w:r>
      <w:r>
        <w:rPr>
          <w:rFonts w:cs="Arial"/>
          <w:sz w:val="22"/>
          <w:szCs w:val="22"/>
          <w:lang w:val="es-CO"/>
        </w:rPr>
        <w:t>No se acoge esa extensión. Un escalón superior a la ENFICC del parque térmico implicaría un valor mínimo de generación térmica que excede la energía firme verificada del conjunto de las plantas térmicas y que, por tanto, no sería exigible conforme al artículo 10. El escalonamiento se cierra, en consecuencia, en la última ENFICC verificada del parque térmico, valor que constituye el techo del mapa de curvas y el límite del valor mínimo de generación térmica exigible.</w:t>
      </w:r>
    </w:p>
    <w:p w14:paraId="64B18907" w14:textId="77777777" w:rsidR="008838A5" w:rsidRDefault="008838A5" w:rsidP="008838A5">
      <w:pPr>
        <w:pStyle w:val="Ttulo2"/>
        <w:spacing w:before="280" w:after="200"/>
        <w:rPr>
          <w:sz w:val="22"/>
          <w:szCs w:val="22"/>
          <w:lang w:val="es-CO"/>
        </w:rPr>
      </w:pPr>
      <w:bookmarkStart w:id="12" w:name="_Toc239520991"/>
      <w:r>
        <w:rPr>
          <w:sz w:val="22"/>
          <w:szCs w:val="22"/>
          <w:lang w:val="es-CO"/>
        </w:rPr>
        <w:t>Generación Modelada con la ENFICC: Sistema de Bogotá y Plantas Filo de Agua</w:t>
      </w:r>
      <w:bookmarkEnd w:id="12"/>
    </w:p>
    <w:p w14:paraId="09E2B9C6" w14:textId="77777777" w:rsidR="008838A5" w:rsidRDefault="008838A5" w:rsidP="008838A5">
      <w:pPr>
        <w:spacing w:after="160"/>
        <w:rPr>
          <w:sz w:val="22"/>
          <w:szCs w:val="22"/>
          <w:lang w:val="es-CO"/>
        </w:rPr>
      </w:pPr>
      <w:r>
        <w:rPr>
          <w:b/>
          <w:sz w:val="22"/>
          <w:szCs w:val="22"/>
          <w:lang w:val="es-CO"/>
        </w:rPr>
        <w:t>Determinación: la Comisión se aparta de la propuesta del CND.</w:t>
      </w:r>
      <w:r>
        <w:rPr>
          <w:sz w:val="22"/>
          <w:szCs w:val="22"/>
          <w:lang w:val="es-CO"/>
        </w:rPr>
        <w:t xml:space="preserve"> La generación mensual de la planta PAGUA y la de las plantas filo de agua despachadas centralmente San Miguel, Cucuana y </w:t>
      </w:r>
      <w:proofErr w:type="spellStart"/>
      <w:r>
        <w:rPr>
          <w:sz w:val="22"/>
          <w:szCs w:val="22"/>
          <w:lang w:val="es-CO"/>
        </w:rPr>
        <w:t>Amoyá</w:t>
      </w:r>
      <w:proofErr w:type="spellEnd"/>
      <w:r>
        <w:rPr>
          <w:sz w:val="22"/>
          <w:szCs w:val="22"/>
          <w:lang w:val="es-CO"/>
        </w:rPr>
        <w:t xml:space="preserve"> se obtiene aplicando el valor de ENFICC vigente de cada planta a todos los meses del horizonte, multiplicado por el número de días del mes correspondiente. No se acoge el uso, para estas plantas, del perfil mensual de generación del año hidrológico de vigencia que determinó su ENFICC.</w:t>
      </w:r>
    </w:p>
    <w:p w14:paraId="59FD8771" w14:textId="77777777" w:rsidR="008838A5" w:rsidRDefault="008838A5" w:rsidP="008838A5">
      <w:pPr>
        <w:spacing w:after="160"/>
        <w:rPr>
          <w:sz w:val="22"/>
          <w:szCs w:val="22"/>
          <w:lang w:val="es-CO"/>
        </w:rPr>
      </w:pPr>
      <w:r>
        <w:rPr>
          <w:sz w:val="22"/>
          <w:szCs w:val="22"/>
          <w:lang w:val="es-CO"/>
        </w:rPr>
        <w:t>Las propuestas recibidas asignan a estas plantas la energía mensual del año hidrológico que sirvió de referencia en la última verificación de su ENFICC, con lo cual su aporte al balance varía mes a mes siguiendo la forma de ese año. La Comisión se aparta de ese tratamiento por las razones siguientes:</w:t>
      </w:r>
    </w:p>
    <w:p w14:paraId="6E41E1D3" w14:textId="77777777" w:rsidR="008838A5" w:rsidRDefault="008838A5" w:rsidP="008838A5">
      <w:pPr>
        <w:pStyle w:val="Prrafodelista"/>
        <w:numPr>
          <w:ilvl w:val="0"/>
          <w:numId w:val="7"/>
        </w:numPr>
        <w:spacing w:after="120"/>
        <w:ind w:left="709" w:hanging="357"/>
        <w:rPr>
          <w:sz w:val="22"/>
          <w:szCs w:val="22"/>
          <w:lang w:val="es-CO"/>
        </w:rPr>
      </w:pPr>
      <w:r>
        <w:rPr>
          <w:b/>
          <w:sz w:val="22"/>
          <w:szCs w:val="22"/>
          <w:lang w:val="es-CO"/>
        </w:rPr>
        <w:lastRenderedPageBreak/>
        <w:t>Conformidad con el Anexo 1.</w:t>
      </w:r>
      <w:r>
        <w:rPr>
          <w:sz w:val="22"/>
          <w:szCs w:val="22"/>
          <w:lang w:val="es-CO"/>
        </w:rPr>
        <w:t xml:space="preserve"> El literal c. del numeral 2 del Anexo 1 dispone que la generación esperada del sistema de Bogotá se modele </w:t>
      </w:r>
      <w:r>
        <w:rPr>
          <w:i/>
          <w:sz w:val="22"/>
          <w:szCs w:val="22"/>
          <w:lang w:val="es-CO"/>
        </w:rPr>
        <w:t>con la ENFICC de la planta PAGUA</w:t>
      </w:r>
      <w:r>
        <w:rPr>
          <w:sz w:val="22"/>
          <w:szCs w:val="22"/>
          <w:lang w:val="es-CO"/>
        </w:rPr>
        <w:t xml:space="preserve">, y la de las FNCER despachadas centralmente </w:t>
      </w:r>
      <w:r>
        <w:rPr>
          <w:i/>
          <w:sz w:val="22"/>
          <w:szCs w:val="22"/>
          <w:lang w:val="es-CO"/>
        </w:rPr>
        <w:t>con su valor de ENFICC</w:t>
      </w:r>
      <w:r>
        <w:rPr>
          <w:sz w:val="22"/>
          <w:szCs w:val="22"/>
          <w:lang w:val="es-CO"/>
        </w:rPr>
        <w:t xml:space="preserve">. La ENFICC es un valor único de energía firme diaria verificada, no un perfil </w:t>
      </w:r>
      <w:proofErr w:type="spellStart"/>
      <w:r>
        <w:rPr>
          <w:sz w:val="22"/>
          <w:szCs w:val="22"/>
          <w:lang w:val="es-CO"/>
        </w:rPr>
        <w:t>intra-anual</w:t>
      </w:r>
      <w:proofErr w:type="spellEnd"/>
      <w:r>
        <w:rPr>
          <w:sz w:val="22"/>
          <w:szCs w:val="22"/>
          <w:lang w:val="es-CO"/>
        </w:rPr>
        <w:t>. Su expresión mensual corresponde, en consecuencia, al producto de ese valor por el número de días del mes, y no al perfil de generación del año que sirvió de referencia para su verificación. Respecto de PAGUA el tratamiento determinado es el único compatible con el texto del Anexo.</w:t>
      </w:r>
    </w:p>
    <w:p w14:paraId="70814B71" w14:textId="77777777" w:rsidR="008838A5" w:rsidRDefault="008838A5" w:rsidP="008838A5">
      <w:pPr>
        <w:pStyle w:val="Prrafodelista"/>
        <w:numPr>
          <w:ilvl w:val="0"/>
          <w:numId w:val="7"/>
        </w:numPr>
        <w:spacing w:after="120"/>
        <w:ind w:left="709" w:hanging="357"/>
        <w:rPr>
          <w:sz w:val="22"/>
          <w:szCs w:val="22"/>
          <w:lang w:val="es-CO"/>
        </w:rPr>
      </w:pPr>
      <w:r>
        <w:rPr>
          <w:b/>
          <w:sz w:val="22"/>
          <w:szCs w:val="22"/>
          <w:lang w:val="es-CO"/>
        </w:rPr>
        <w:t>Homogeneidad de tratamiento entre recursos con energía firme.</w:t>
      </w:r>
      <w:r>
        <w:rPr>
          <w:sz w:val="22"/>
          <w:szCs w:val="22"/>
          <w:lang w:val="es-CO"/>
        </w:rPr>
        <w:t xml:space="preserve"> Las propuestas aplican el valor único de ENFICC a las FNCER despachadas centralmente y, simultáneamente, un perfil mensual a las plantas hidráulicas modeladas con ENFICC. Se trata de recursos sujetos al mismo concepto regulatorio de energía firme, por lo que no existe razón para un tratamiento asimétrico. La determinación unifica el criterio.</w:t>
      </w:r>
    </w:p>
    <w:p w14:paraId="2B382E8E" w14:textId="77777777" w:rsidR="008838A5" w:rsidRDefault="008838A5" w:rsidP="008838A5">
      <w:pPr>
        <w:pStyle w:val="Prrafodelista"/>
        <w:numPr>
          <w:ilvl w:val="0"/>
          <w:numId w:val="7"/>
        </w:numPr>
        <w:spacing w:after="120"/>
        <w:ind w:left="709" w:hanging="357"/>
        <w:rPr>
          <w:sz w:val="22"/>
          <w:szCs w:val="22"/>
          <w:lang w:val="es-CO"/>
        </w:rPr>
      </w:pPr>
      <w:r>
        <w:rPr>
          <w:b/>
          <w:sz w:val="22"/>
          <w:szCs w:val="22"/>
          <w:lang w:val="es-CO"/>
        </w:rPr>
        <w:t>Trazabilidad y replicabilidad.</w:t>
      </w:r>
      <w:r>
        <w:rPr>
          <w:sz w:val="22"/>
          <w:szCs w:val="22"/>
          <w:lang w:val="es-CO"/>
        </w:rPr>
        <w:t xml:space="preserve"> El valor único de ENFICC vigente es verificable de manera directa contra la certificación publicada, sin requerir la reconstrucción de las series de generación mensual del año de verificación. Ello facilita la reproducción del cálculo por terceros a partir de los insumos que el CND debe publicar conforme al literal c. del artículo 8.</w:t>
      </w:r>
    </w:p>
    <w:p w14:paraId="255EC4D8" w14:textId="77777777" w:rsidR="008838A5" w:rsidRDefault="008838A5" w:rsidP="008838A5">
      <w:pPr>
        <w:spacing w:after="160"/>
        <w:rPr>
          <w:sz w:val="22"/>
          <w:szCs w:val="22"/>
          <w:lang w:val="es-CO"/>
        </w:rPr>
      </w:pPr>
      <w:r>
        <w:rPr>
          <w:sz w:val="22"/>
          <w:szCs w:val="22"/>
          <w:lang w:val="es-CO"/>
        </w:rPr>
        <w:t>Este tratamiento no modifica el de las plantas hidráulicas no despachadas centralmente ni el de las demás plantas filo de agua sin ENFICC certificada, que se rigen por lo previsto en el numeral 3.6 de este documento.</w:t>
      </w:r>
    </w:p>
    <w:p w14:paraId="3FB26258" w14:textId="77777777" w:rsidR="008838A5" w:rsidRDefault="008838A5" w:rsidP="008838A5">
      <w:pPr>
        <w:pStyle w:val="Ttulo2"/>
        <w:spacing w:before="280" w:after="200"/>
        <w:rPr>
          <w:sz w:val="22"/>
          <w:szCs w:val="22"/>
          <w:lang w:val="es-CO"/>
        </w:rPr>
      </w:pPr>
      <w:bookmarkStart w:id="13" w:name="_Toc239520992"/>
      <w:r>
        <w:rPr>
          <w:sz w:val="22"/>
          <w:szCs w:val="22"/>
          <w:lang w:val="es-CO"/>
        </w:rPr>
        <w:t>Generación de Plantas No Despachadas Centralmente</w:t>
      </w:r>
      <w:bookmarkEnd w:id="13"/>
    </w:p>
    <w:p w14:paraId="39739592" w14:textId="77777777" w:rsidR="008838A5" w:rsidRDefault="008838A5" w:rsidP="008838A5">
      <w:pPr>
        <w:spacing w:after="160"/>
        <w:rPr>
          <w:sz w:val="22"/>
          <w:szCs w:val="22"/>
          <w:lang w:val="es-CO"/>
        </w:rPr>
      </w:pPr>
      <w:r>
        <w:rPr>
          <w:b/>
          <w:sz w:val="22"/>
          <w:szCs w:val="22"/>
          <w:lang w:val="es-CO"/>
        </w:rPr>
        <w:t>Determinación: se acoge la propuesta del CND y del CNO.</w:t>
      </w:r>
      <w:r>
        <w:rPr>
          <w:sz w:val="22"/>
          <w:szCs w:val="22"/>
          <w:lang w:val="es-CO"/>
        </w:rPr>
        <w:t xml:space="preserve"> Para las plantas hidráulicas y térmicas menores no despachadas centralmente se emplean los valores mínimos mensuales observados en una ventana histórica de diez años. Para las FNCER no despachadas centralmente se emplea el promedio de generación observado desde el inicio del año hidrológico y hasta el 31 de agosto de 2026.</w:t>
      </w:r>
    </w:p>
    <w:p w14:paraId="223DE672" w14:textId="77777777" w:rsidR="008838A5" w:rsidRDefault="008838A5" w:rsidP="008838A5">
      <w:pPr>
        <w:spacing w:after="160"/>
        <w:rPr>
          <w:sz w:val="22"/>
          <w:szCs w:val="22"/>
          <w:lang w:val="es-CO"/>
        </w:rPr>
      </w:pPr>
      <w:r>
        <w:rPr>
          <w:sz w:val="22"/>
          <w:szCs w:val="22"/>
          <w:lang w:val="es-CO"/>
        </w:rPr>
        <w:t xml:space="preserve">El criterio de mínimos mensuales es consistente con el objeto del ejercicio: se trata de recursos cuya disponibilidad se degrada en condiciones hidrológicas secas y respecto de los cuales no existe certificación de energía firme, de modo que el mínimo observado constituye el estimador más prudente disponible. </w:t>
      </w:r>
    </w:p>
    <w:p w14:paraId="3BBE662D" w14:textId="77777777" w:rsidR="008838A5" w:rsidRDefault="008838A5" w:rsidP="008838A5">
      <w:pPr>
        <w:spacing w:after="160"/>
        <w:rPr>
          <w:sz w:val="22"/>
          <w:szCs w:val="22"/>
          <w:lang w:val="es-CO"/>
        </w:rPr>
      </w:pPr>
      <w:r>
        <w:rPr>
          <w:sz w:val="22"/>
          <w:szCs w:val="22"/>
          <w:lang w:val="es-CO"/>
        </w:rPr>
        <w:t>Se advierte que este último tratamiento es transitorio por naturaleza. A medida que el parque FNCER madure y se disponga de series suficientes referidas a una capacidad instalada estable, el supuesto deberá revisarse para incorporar su estacionalidad y su variabilidad, en el marco de las actualizaciones previstas en el artículo 8.</w:t>
      </w:r>
    </w:p>
    <w:p w14:paraId="1262A01F" w14:textId="77777777" w:rsidR="008838A5" w:rsidRDefault="008838A5" w:rsidP="008838A5">
      <w:pPr>
        <w:pStyle w:val="Ttulo2"/>
        <w:spacing w:before="280" w:after="200"/>
        <w:rPr>
          <w:sz w:val="22"/>
          <w:szCs w:val="22"/>
          <w:lang w:val="es-CO"/>
        </w:rPr>
      </w:pPr>
      <w:bookmarkStart w:id="14" w:name="_Toc239520993"/>
      <w:r>
        <w:rPr>
          <w:sz w:val="22"/>
          <w:szCs w:val="22"/>
          <w:lang w:val="es-CO"/>
        </w:rPr>
        <w:t>Desbalance Hídrico y Vertimientos</w:t>
      </w:r>
      <w:bookmarkEnd w:id="14"/>
    </w:p>
    <w:p w14:paraId="6CA57B95" w14:textId="77777777" w:rsidR="008838A5" w:rsidRDefault="008838A5" w:rsidP="008838A5">
      <w:pPr>
        <w:spacing w:after="160"/>
        <w:rPr>
          <w:sz w:val="22"/>
          <w:szCs w:val="22"/>
          <w:lang w:val="es-CO"/>
        </w:rPr>
      </w:pPr>
      <w:r>
        <w:rPr>
          <w:b/>
          <w:sz w:val="22"/>
          <w:szCs w:val="22"/>
          <w:lang w:val="es-CO"/>
        </w:rPr>
        <w:t>Determinación: se acoge la propuesta del CND y del CNO en ambas variables.</w:t>
      </w:r>
      <w:r>
        <w:rPr>
          <w:sz w:val="22"/>
          <w:szCs w:val="22"/>
          <w:lang w:val="es-CO"/>
        </w:rPr>
        <w:t xml:space="preserve"> El desbalance hídrico mensual se obtiene de los balances en energía de las cadenas hidráulicas que conforman el embalse parcial, conforme a la metodología presentada por el CND en los espacios técnicos del CNO, sobre una ventana de los últimos doce meses. Los vertimientos se asumen nulos en todo el horizonte.</w:t>
      </w:r>
    </w:p>
    <w:p w14:paraId="2382F76B" w14:textId="77777777" w:rsidR="008838A5" w:rsidRDefault="008838A5" w:rsidP="008838A5">
      <w:pPr>
        <w:spacing w:after="160"/>
        <w:rPr>
          <w:sz w:val="22"/>
          <w:szCs w:val="22"/>
          <w:lang w:val="es-CO"/>
        </w:rPr>
      </w:pPr>
      <w:r>
        <w:rPr>
          <w:sz w:val="22"/>
          <w:szCs w:val="22"/>
          <w:lang w:val="es-CO"/>
        </w:rPr>
        <w:lastRenderedPageBreak/>
        <w:t xml:space="preserve">Respecto del desbalance, se </w:t>
      </w:r>
      <w:r w:rsidRPr="00E63D02">
        <w:rPr>
          <w:rFonts w:cs="Arial"/>
          <w:sz w:val="22"/>
          <w:szCs w:val="22"/>
          <w:lang w:val="es-CO"/>
        </w:rPr>
        <w:t>destaca que la metodología fue discutida en los espacios técnicos del CNO y que su cálculo se apoya</w:t>
      </w:r>
      <w:r>
        <w:rPr>
          <w:sz w:val="22"/>
          <w:szCs w:val="22"/>
          <w:lang w:val="es-CO"/>
        </w:rPr>
        <w:t xml:space="preserve"> en información operativa registrada, lo que satisface los criterios de trazabilidad y replicabilidad. La ventana de doce meses recoge un ciclo hidrológico completo y evita que el supuesto quede determinado por la estacionalidad del momento en que se realiza el cálculo. </w:t>
      </w:r>
    </w:p>
    <w:p w14:paraId="725A9A1C" w14:textId="77777777" w:rsidR="008838A5" w:rsidRDefault="008838A5" w:rsidP="008838A5">
      <w:pPr>
        <w:spacing w:after="160"/>
        <w:rPr>
          <w:sz w:val="22"/>
          <w:szCs w:val="22"/>
          <w:lang w:val="es-CO"/>
        </w:rPr>
      </w:pPr>
      <w:r>
        <w:rPr>
          <w:sz w:val="22"/>
          <w:szCs w:val="22"/>
          <w:lang w:val="es-CO"/>
        </w:rPr>
        <w:t>Respecto de los vertimientos, el supuesto de valor nulo es consistente con la naturaleza del ejercicio: en un escenario de hidrología crítica no se esperan vertimientos en el agregado parcial, y su inclusión exigiría un supuesto adicional no observable sobre una condición ajena a la que se pretende representar. Se advierte que este supuesto deberá revisarse si la actualización del cálculo se realiza en condiciones hidrológicas distintas.</w:t>
      </w:r>
    </w:p>
    <w:p w14:paraId="18D72700" w14:textId="77777777" w:rsidR="008838A5" w:rsidRDefault="008838A5" w:rsidP="008838A5">
      <w:pPr>
        <w:pStyle w:val="Ttulo2"/>
        <w:spacing w:before="280" w:after="200"/>
        <w:rPr>
          <w:sz w:val="22"/>
          <w:szCs w:val="22"/>
          <w:lang w:val="es-CO"/>
        </w:rPr>
      </w:pPr>
      <w:bookmarkStart w:id="15" w:name="_Toc239520994"/>
      <w:r>
        <w:rPr>
          <w:sz w:val="22"/>
          <w:szCs w:val="22"/>
          <w:lang w:val="es-CO"/>
        </w:rPr>
        <w:t>Nivel %V del Embalse al Final del Verano</w:t>
      </w:r>
      <w:bookmarkEnd w:id="15"/>
    </w:p>
    <w:p w14:paraId="10FFE406" w14:textId="77777777" w:rsidR="008838A5" w:rsidRDefault="008838A5" w:rsidP="008838A5">
      <w:pPr>
        <w:spacing w:after="160"/>
        <w:rPr>
          <w:sz w:val="22"/>
          <w:szCs w:val="22"/>
          <w:lang w:val="es-CO"/>
        </w:rPr>
      </w:pPr>
      <w:r>
        <w:rPr>
          <w:b/>
          <w:sz w:val="22"/>
          <w:szCs w:val="22"/>
          <w:lang w:val="es-CO"/>
        </w:rPr>
        <w:t>Determinación: se acoge la propuesta del CND.</w:t>
      </w:r>
      <w:r>
        <w:rPr>
          <w:sz w:val="22"/>
          <w:szCs w:val="22"/>
          <w:lang w:val="es-CO"/>
        </w:rPr>
        <w:t xml:space="preserve"> El límite inferior del volumen útil del embalse parcial al 30 de abril de 2027 se fija en 30%.</w:t>
      </w:r>
    </w:p>
    <w:p w14:paraId="43DB766C" w14:textId="77777777" w:rsidR="008838A5" w:rsidRDefault="008838A5" w:rsidP="008838A5">
      <w:pPr>
        <w:spacing w:after="160"/>
        <w:rPr>
          <w:sz w:val="22"/>
          <w:szCs w:val="22"/>
          <w:lang w:val="es-CO"/>
        </w:rPr>
      </w:pPr>
      <w:r>
        <w:rPr>
          <w:sz w:val="22"/>
          <w:szCs w:val="22"/>
          <w:lang w:val="es-CO"/>
        </w:rPr>
        <w:t>Esta cota no es un pronóstico del nivel esperado sino el punto de llegada que ancla la recursión hacia atrás del procedimiento del Anexo 1. De su valor depende la totalidad del mapa: una cota más baja desplaza hacia abajo todas las curvas y retrasa la activación del mecanismo de sostenimiento de la confiabilidad; una cota más alta produce el efecto contrario.</w:t>
      </w:r>
    </w:p>
    <w:p w14:paraId="555AE892" w14:textId="77777777" w:rsidR="008838A5" w:rsidRDefault="008838A5" w:rsidP="008838A5">
      <w:pPr>
        <w:spacing w:after="160"/>
        <w:rPr>
          <w:sz w:val="22"/>
          <w:szCs w:val="22"/>
          <w:lang w:val="es-CO"/>
        </w:rPr>
      </w:pPr>
      <w:r>
        <w:rPr>
          <w:sz w:val="22"/>
          <w:szCs w:val="22"/>
          <w:lang w:val="es-CO"/>
        </w:rPr>
        <w:t xml:space="preserve">La Comisión acoge el criterio del CND, sustentado en el comportamiento histórico del propio agregado parcial y en el descenso observado durante el evento El Niño 2023-2024, esto es, en el episodio más exigente del registro reciente. Ese anclaje </w:t>
      </w:r>
      <w:r w:rsidRPr="00E63D02">
        <w:rPr>
          <w:rFonts w:cs="Arial"/>
          <w:sz w:val="22"/>
          <w:szCs w:val="22"/>
          <w:lang w:val="es-CO"/>
        </w:rPr>
        <w:t>presenta</w:t>
      </w:r>
      <w:r>
        <w:rPr>
          <w:sz w:val="22"/>
          <w:szCs w:val="22"/>
          <w:lang w:val="es-CO"/>
        </w:rPr>
        <w:t xml:space="preserve"> dos v</w:t>
      </w:r>
      <w:r w:rsidRPr="00E63D02">
        <w:rPr>
          <w:rFonts w:cs="Arial"/>
          <w:sz w:val="22"/>
          <w:szCs w:val="22"/>
          <w:lang w:val="es-CO"/>
        </w:rPr>
        <w:t>entaja</w:t>
      </w:r>
      <w:r>
        <w:rPr>
          <w:sz w:val="22"/>
          <w:szCs w:val="22"/>
          <w:lang w:val="es-CO"/>
        </w:rPr>
        <w:t>s: se refiere al mismo agregado sobre el cual se construyen las curvas y describe un comportamiento sostenido y no un dato puntual. La propuesta del CNO</w:t>
      </w:r>
      <w:r w:rsidRPr="00E63D02">
        <w:rPr>
          <w:rFonts w:cs="Arial"/>
          <w:sz w:val="22"/>
          <w:szCs w:val="22"/>
          <w:lang w:val="es-CO"/>
        </w:rPr>
        <w:t>, en cambio, ancla la cota en el nivel del embalse parcial observado el día del mínimo histórico del agregado nacional, esto es, en un dato puntual referido a un agregado distinto de aquel sobre el cual se construyen las curvas, razón por la cual no se acoge</w:t>
      </w:r>
      <w:r>
        <w:rPr>
          <w:sz w:val="22"/>
          <w:szCs w:val="22"/>
          <w:lang w:val="es-CO"/>
        </w:rPr>
        <w:t xml:space="preserve">. </w:t>
      </w:r>
    </w:p>
    <w:p w14:paraId="1B9912FD" w14:textId="77777777" w:rsidR="008838A5" w:rsidRDefault="008838A5" w:rsidP="008838A5">
      <w:pPr>
        <w:spacing w:after="160"/>
        <w:rPr>
          <w:sz w:val="22"/>
          <w:szCs w:val="22"/>
          <w:lang w:val="es-CO"/>
        </w:rPr>
      </w:pPr>
      <w:r>
        <w:rPr>
          <w:sz w:val="22"/>
          <w:szCs w:val="22"/>
          <w:lang w:val="es-CO"/>
        </w:rPr>
        <w:t>La cota determinada debe entenderse, además, como un piso operativo</w:t>
      </w:r>
      <w:r w:rsidRPr="004154C9">
        <w:rPr>
          <w:rFonts w:cs="Arial"/>
          <w:sz w:val="22"/>
          <w:szCs w:val="22"/>
          <w:lang w:val="es-CO"/>
        </w:rPr>
        <w:t xml:space="preserve"> que</w:t>
      </w:r>
      <w:r>
        <w:rPr>
          <w:sz w:val="22"/>
          <w:szCs w:val="22"/>
          <w:lang w:val="es-CO"/>
        </w:rPr>
        <w:t xml:space="preserve"> preserva margen frente a los mínimos técnicos agregados de las plantas y frente a las restricciones de operación de los embalses, y no como un nivel al que resulte admisible conducir el sistema.</w:t>
      </w:r>
    </w:p>
    <w:p w14:paraId="5A7A479B" w14:textId="77777777" w:rsidR="008838A5" w:rsidRDefault="008838A5" w:rsidP="008838A5">
      <w:pPr>
        <w:pStyle w:val="Ttulo2"/>
        <w:spacing w:before="280" w:after="200"/>
        <w:rPr>
          <w:sz w:val="22"/>
          <w:szCs w:val="22"/>
          <w:lang w:val="es-CO"/>
        </w:rPr>
      </w:pPr>
      <w:bookmarkStart w:id="16" w:name="_Toc239520995"/>
      <w:r>
        <w:rPr>
          <w:sz w:val="22"/>
          <w:szCs w:val="22"/>
          <w:lang w:val="es-CO"/>
        </w:rPr>
        <w:t>Umbral ISO-Térmica</w:t>
      </w:r>
      <w:bookmarkEnd w:id="16"/>
    </w:p>
    <w:p w14:paraId="2019DB07" w14:textId="77777777" w:rsidR="008838A5" w:rsidRDefault="008838A5" w:rsidP="008838A5">
      <w:pPr>
        <w:spacing w:before="120" w:after="120"/>
        <w:rPr>
          <w:sz w:val="22"/>
          <w:szCs w:val="22"/>
          <w:lang w:val="es-CO"/>
        </w:rPr>
      </w:pPr>
      <w:r>
        <w:rPr>
          <w:b/>
          <w:sz w:val="22"/>
          <w:szCs w:val="22"/>
          <w:lang w:val="es-CO"/>
        </w:rPr>
        <w:t>Determinación: se acoge el criterio propuesto por el CND.</w:t>
      </w:r>
      <w:r>
        <w:rPr>
          <w:sz w:val="22"/>
          <w:szCs w:val="22"/>
          <w:lang w:val="es-CO"/>
        </w:rPr>
        <w:t xml:space="preserve"> El umbral ISO-térmica corresponde a la curva ISO-GT de menor generación térmica objetivo cuya trayectoria se mantiene íntegramente dentro del rango físicamente admisible del embalse parcial, esto es, entre la cota inferior determinada en el numeral 3.8 y el cien por ciento del volumen útil, durante todo el horizonte del cálculo. Aplicado a las curvas que resulten del recálculo </w:t>
      </w:r>
      <w:r w:rsidRPr="00E63D02">
        <w:rPr>
          <w:rFonts w:cs="Arial"/>
          <w:sz w:val="22"/>
          <w:szCs w:val="22"/>
          <w:lang w:val="es-CO"/>
        </w:rPr>
        <w:t>a que se refiere el numeral 5</w:t>
      </w:r>
      <w:r>
        <w:rPr>
          <w:sz w:val="22"/>
          <w:szCs w:val="22"/>
          <w:lang w:val="es-CO"/>
        </w:rPr>
        <w:t xml:space="preserve">, el umbral corresponde a la curva </w:t>
      </w:r>
      <w:r>
        <w:rPr>
          <w:b/>
          <w:sz w:val="22"/>
          <w:szCs w:val="22"/>
          <w:lang w:val="es-CO"/>
        </w:rPr>
        <w:t>[ISO-GT 85 GWh/día]</w:t>
      </w:r>
      <w:r>
        <w:rPr>
          <w:sz w:val="22"/>
          <w:szCs w:val="22"/>
          <w:lang w:val="es-CO"/>
        </w:rPr>
        <w:t>.</w:t>
      </w:r>
    </w:p>
    <w:p w14:paraId="1AF46D98" w14:textId="77777777" w:rsidR="008838A5" w:rsidRDefault="008838A5" w:rsidP="008838A5">
      <w:pPr>
        <w:spacing w:before="120" w:after="120"/>
        <w:rPr>
          <w:sz w:val="22"/>
          <w:szCs w:val="22"/>
          <w:lang w:val="es-CO"/>
        </w:rPr>
      </w:pPr>
      <w:r>
        <w:rPr>
          <w:sz w:val="22"/>
          <w:szCs w:val="22"/>
          <w:lang w:val="es-CO"/>
        </w:rPr>
        <w:t xml:space="preserve">El CNO propone un umbral asociado a un nivel de generación térmica objetivo superior, derivado del requerimiento de generación térmica identificado en los análisis energéticos de corto y mediano plazo. </w:t>
      </w:r>
      <w:r w:rsidRPr="00E63D02">
        <w:rPr>
          <w:rFonts w:cs="Arial"/>
          <w:sz w:val="22"/>
          <w:szCs w:val="22"/>
          <w:lang w:val="es-CO"/>
        </w:rPr>
        <w:t>Se</w:t>
      </w:r>
      <w:r>
        <w:rPr>
          <w:sz w:val="22"/>
          <w:szCs w:val="22"/>
          <w:lang w:val="es-CO"/>
        </w:rPr>
        <w:t xml:space="preserve"> considera que ese análisis constituye un insumo valioso para la recomendación sobre la pertinencia de activar el mecanismo, de que trata el artículo 6, pero no para la definición del umbral del artículo 8, que debe responder a un criterio estructural y estable en el tiempo. Adicionalmente, un umbral asociado a una generación térmica objetivo mayor corresponde a una curva situada por debajo en el mapa, con lo cual la activación del Estatuto de </w:t>
      </w:r>
      <w:r>
        <w:rPr>
          <w:sz w:val="22"/>
          <w:szCs w:val="22"/>
          <w:lang w:val="es-CO"/>
        </w:rPr>
        <w:lastRenderedPageBreak/>
        <w:t>Riesgo de Desabastecimiento se produciría con niveles de embalse inferiores y el margen de reacción del sistema sería menor, resultado contrario al criterio de prudencia.</w:t>
      </w:r>
    </w:p>
    <w:p w14:paraId="2E1D0FBA" w14:textId="77777777" w:rsidR="008838A5" w:rsidRDefault="008838A5" w:rsidP="008838A5">
      <w:pPr>
        <w:spacing w:before="120" w:after="120"/>
        <w:rPr>
          <w:rFonts w:cs="Arial"/>
          <w:color w:val="000000"/>
          <w:sz w:val="22"/>
        </w:rPr>
      </w:pPr>
      <w:r w:rsidRPr="00504CD0">
        <w:rPr>
          <w:rFonts w:cs="Arial"/>
          <w:color w:val="000000"/>
          <w:sz w:val="22"/>
        </w:rPr>
        <w:t>La</w:t>
      </w:r>
      <w:r>
        <w:t xml:space="preserve"> </w:t>
      </w:r>
      <w:r w:rsidRPr="00504CD0">
        <w:rPr>
          <w:rFonts w:cs="Arial"/>
          <w:color w:val="000000"/>
          <w:sz w:val="22"/>
        </w:rPr>
        <w:t>diferencia</w:t>
      </w:r>
      <w:r>
        <w:t xml:space="preserve"> </w:t>
      </w:r>
      <w:r w:rsidRPr="00504CD0">
        <w:rPr>
          <w:rFonts w:cs="Arial"/>
          <w:color w:val="000000"/>
          <w:sz w:val="22"/>
        </w:rPr>
        <w:t>entre</w:t>
      </w:r>
      <w:r>
        <w:t xml:space="preserve"> </w:t>
      </w:r>
      <w:r w:rsidRPr="00504CD0">
        <w:rPr>
          <w:rFonts w:cs="Arial"/>
          <w:color w:val="000000"/>
          <w:sz w:val="22"/>
        </w:rPr>
        <w:t>ambas</w:t>
      </w:r>
      <w:r>
        <w:t xml:space="preserve"> </w:t>
      </w:r>
      <w:r w:rsidRPr="00504CD0">
        <w:rPr>
          <w:rFonts w:cs="Arial"/>
          <w:color w:val="000000"/>
          <w:sz w:val="22"/>
        </w:rPr>
        <w:t>propuestas</w:t>
      </w:r>
      <w:r>
        <w:t xml:space="preserve"> </w:t>
      </w:r>
      <w:r w:rsidRPr="00504CD0">
        <w:rPr>
          <w:rFonts w:cs="Arial"/>
          <w:color w:val="000000"/>
          <w:sz w:val="22"/>
        </w:rPr>
        <w:t>puede</w:t>
      </w:r>
      <w:r>
        <w:t xml:space="preserve"> </w:t>
      </w:r>
      <w:r w:rsidRPr="00504CD0">
        <w:rPr>
          <w:rFonts w:cs="Arial"/>
          <w:color w:val="000000"/>
          <w:sz w:val="22"/>
        </w:rPr>
        <w:t>cuantificarse</w:t>
      </w:r>
      <w:r>
        <w:t xml:space="preserve"> </w:t>
      </w:r>
      <w:r w:rsidRPr="00504CD0">
        <w:rPr>
          <w:rFonts w:cs="Arial"/>
          <w:color w:val="000000"/>
          <w:sz w:val="22"/>
        </w:rPr>
        <w:t>a</w:t>
      </w:r>
      <w:r>
        <w:t xml:space="preserve"> </w:t>
      </w:r>
      <w:r w:rsidRPr="00504CD0">
        <w:rPr>
          <w:rFonts w:cs="Arial"/>
          <w:color w:val="000000"/>
          <w:sz w:val="22"/>
        </w:rPr>
        <w:t>partir</w:t>
      </w:r>
      <w:r>
        <w:t xml:space="preserve"> </w:t>
      </w:r>
      <w:r w:rsidRPr="00504CD0">
        <w:rPr>
          <w:rFonts w:cs="Arial"/>
          <w:color w:val="000000"/>
          <w:sz w:val="22"/>
        </w:rPr>
        <w:t>del</w:t>
      </w:r>
      <w:r>
        <w:t xml:space="preserve"> </w:t>
      </w:r>
      <w:r w:rsidRPr="00504CD0">
        <w:rPr>
          <w:rFonts w:cs="Arial"/>
          <w:color w:val="000000"/>
          <w:sz w:val="22"/>
        </w:rPr>
        <w:t>nivel</w:t>
      </w:r>
      <w:r>
        <w:t xml:space="preserve"> </w:t>
      </w:r>
      <w:r w:rsidRPr="00504CD0">
        <w:rPr>
          <w:rFonts w:cs="Arial"/>
          <w:color w:val="000000"/>
          <w:sz w:val="22"/>
        </w:rPr>
        <w:t>de</w:t>
      </w:r>
      <w:r>
        <w:t xml:space="preserve"> </w:t>
      </w:r>
      <w:r w:rsidRPr="00504CD0">
        <w:rPr>
          <w:rFonts w:cs="Arial"/>
          <w:color w:val="000000"/>
          <w:sz w:val="22"/>
        </w:rPr>
        <w:t>embalse</w:t>
      </w:r>
      <w:r>
        <w:t xml:space="preserve"> </w:t>
      </w:r>
      <w:r w:rsidRPr="00504CD0">
        <w:rPr>
          <w:rFonts w:cs="Arial"/>
          <w:color w:val="000000"/>
          <w:sz w:val="22"/>
        </w:rPr>
        <w:t>al</w:t>
      </w:r>
      <w:r>
        <w:t xml:space="preserve"> </w:t>
      </w:r>
      <w:r w:rsidRPr="00504CD0">
        <w:rPr>
          <w:rFonts w:cs="Arial"/>
          <w:color w:val="000000"/>
          <w:sz w:val="22"/>
        </w:rPr>
        <w:t>que</w:t>
      </w:r>
      <w:r>
        <w:t xml:space="preserve"> </w:t>
      </w:r>
      <w:r w:rsidRPr="00504CD0">
        <w:rPr>
          <w:rFonts w:cs="Arial"/>
          <w:color w:val="000000"/>
          <w:sz w:val="22"/>
        </w:rPr>
        <w:t>conduce</w:t>
      </w:r>
      <w:r>
        <w:t xml:space="preserve"> </w:t>
      </w:r>
      <w:r w:rsidRPr="00504CD0">
        <w:rPr>
          <w:rFonts w:cs="Arial"/>
          <w:color w:val="000000"/>
          <w:sz w:val="22"/>
        </w:rPr>
        <w:t>cada</w:t>
      </w:r>
      <w:r>
        <w:t xml:space="preserve"> </w:t>
      </w:r>
      <w:r w:rsidRPr="00504CD0">
        <w:rPr>
          <w:rFonts w:cs="Arial"/>
          <w:color w:val="000000"/>
          <w:sz w:val="22"/>
        </w:rPr>
        <w:t>umbral.</w:t>
      </w:r>
      <w:r>
        <w:t xml:space="preserve"> </w:t>
      </w:r>
      <w:r w:rsidRPr="00504CD0">
        <w:rPr>
          <w:rFonts w:cs="Arial"/>
          <w:color w:val="000000"/>
          <w:sz w:val="22"/>
        </w:rPr>
        <w:t>Conforme</w:t>
      </w:r>
      <w:r>
        <w:t xml:space="preserve"> </w:t>
      </w:r>
      <w:r w:rsidRPr="00504CD0">
        <w:rPr>
          <w:rFonts w:cs="Arial"/>
          <w:color w:val="000000"/>
          <w:sz w:val="22"/>
        </w:rPr>
        <w:t>a</w:t>
      </w:r>
      <w:r>
        <w:t xml:space="preserve"> </w:t>
      </w:r>
      <w:r w:rsidRPr="00504CD0">
        <w:rPr>
          <w:rFonts w:cs="Arial"/>
          <w:color w:val="000000"/>
          <w:sz w:val="22"/>
        </w:rPr>
        <w:t>la</w:t>
      </w:r>
      <w:r>
        <w:t xml:space="preserve"> </w:t>
      </w:r>
      <w:r w:rsidRPr="00504CD0">
        <w:rPr>
          <w:rFonts w:cs="Arial"/>
          <w:color w:val="000000"/>
          <w:sz w:val="22"/>
        </w:rPr>
        <w:t>propuesta</w:t>
      </w:r>
      <w:r>
        <w:t xml:space="preserve"> </w:t>
      </w:r>
      <w:r w:rsidRPr="00504CD0">
        <w:rPr>
          <w:rFonts w:cs="Arial"/>
          <w:color w:val="000000"/>
          <w:sz w:val="22"/>
        </w:rPr>
        <w:t>del</w:t>
      </w:r>
      <w:r>
        <w:t xml:space="preserve"> </w:t>
      </w:r>
      <w:r w:rsidRPr="00504CD0">
        <w:rPr>
          <w:rFonts w:cs="Arial"/>
          <w:color w:val="000000"/>
          <w:sz w:val="22"/>
        </w:rPr>
        <w:t>CNO,</w:t>
      </w:r>
      <w:r>
        <w:t xml:space="preserve"> </w:t>
      </w:r>
      <w:r w:rsidRPr="00504CD0">
        <w:rPr>
          <w:rFonts w:cs="Arial"/>
          <w:color w:val="000000"/>
          <w:sz w:val="22"/>
        </w:rPr>
        <w:t>ilustrada</w:t>
      </w:r>
      <w:r>
        <w:t xml:space="preserve"> </w:t>
      </w:r>
      <w:r w:rsidRPr="00504CD0">
        <w:rPr>
          <w:rFonts w:cs="Arial"/>
          <w:color w:val="000000"/>
          <w:sz w:val="22"/>
        </w:rPr>
        <w:t>en</w:t>
      </w:r>
      <w:r>
        <w:t xml:space="preserve"> </w:t>
      </w:r>
      <w:r w:rsidRPr="00504CD0">
        <w:rPr>
          <w:rFonts w:cs="Arial"/>
          <w:color w:val="000000"/>
          <w:sz w:val="22"/>
        </w:rPr>
        <w:t>la</w:t>
      </w:r>
      <w:r>
        <w:t xml:space="preserve"> </w:t>
      </w:r>
      <w:r w:rsidRPr="00B44393">
        <w:rPr>
          <w:rFonts w:cs="Arial"/>
          <w:color w:val="000000"/>
          <w:sz w:val="22"/>
        </w:rPr>
        <w:t xml:space="preserve">Figura </w:t>
      </w:r>
      <w:r w:rsidRPr="00504CD0">
        <w:rPr>
          <w:rFonts w:cs="Arial"/>
          <w:color w:val="000000"/>
          <w:sz w:val="22"/>
        </w:rPr>
        <w:fldChar w:fldCharType="begin"/>
      </w:r>
      <w:r w:rsidRPr="00504CD0">
        <w:rPr>
          <w:rFonts w:cs="Arial"/>
          <w:color w:val="000000"/>
          <w:sz w:val="22"/>
        </w:rPr>
        <w:instrText xml:space="preserve"> REF Figura_7 \* MERGEFORMAT </w:instrText>
      </w:r>
      <w:r w:rsidRPr="00504CD0">
        <w:rPr>
          <w:rFonts w:cs="Arial"/>
          <w:color w:val="000000"/>
          <w:sz w:val="22"/>
        </w:rPr>
        <w:fldChar w:fldCharType="separate"/>
      </w:r>
      <w:r w:rsidRPr="001D6FBF">
        <w:rPr>
          <w:rFonts w:cs="Arial"/>
          <w:color w:val="000000"/>
          <w:sz w:val="22"/>
          <w:lang w:val="es-CO"/>
        </w:rPr>
        <w:t>3</w:t>
      </w:r>
      <w:r w:rsidRPr="00504CD0">
        <w:rPr>
          <w:rFonts w:cs="Arial"/>
          <w:color w:val="000000"/>
          <w:sz w:val="22"/>
        </w:rPr>
        <w:fldChar w:fldCharType="end"/>
      </w:r>
      <w:r>
        <w:t xml:space="preserve"> </w:t>
      </w:r>
      <w:r w:rsidRPr="00504CD0">
        <w:rPr>
          <w:rFonts w:cs="Arial"/>
          <w:color w:val="000000"/>
          <w:sz w:val="22"/>
        </w:rPr>
        <w:t>y</w:t>
      </w:r>
      <w:r>
        <w:t xml:space="preserve"> </w:t>
      </w:r>
      <w:r w:rsidRPr="00504CD0">
        <w:rPr>
          <w:rFonts w:cs="Arial"/>
          <w:color w:val="000000"/>
          <w:sz w:val="22"/>
        </w:rPr>
        <w:t>detallada</w:t>
      </w:r>
      <w:r>
        <w:t xml:space="preserve"> </w:t>
      </w:r>
      <w:r w:rsidRPr="00504CD0">
        <w:rPr>
          <w:rFonts w:cs="Arial"/>
          <w:color w:val="000000"/>
          <w:sz w:val="22"/>
        </w:rPr>
        <w:t>en</w:t>
      </w:r>
      <w:r>
        <w:t xml:space="preserve"> </w:t>
      </w:r>
      <w:r w:rsidRPr="00504CD0">
        <w:rPr>
          <w:rFonts w:cs="Arial"/>
          <w:color w:val="000000"/>
          <w:sz w:val="22"/>
        </w:rPr>
        <w:t>la</w:t>
      </w:r>
      <w:r>
        <w:t xml:space="preserve"> </w:t>
      </w:r>
      <w:r w:rsidRPr="00504CD0">
        <w:rPr>
          <w:rFonts w:cs="Arial"/>
          <w:color w:val="000000"/>
          <w:sz w:val="22"/>
        </w:rPr>
        <w:fldChar w:fldCharType="begin"/>
      </w:r>
      <w:r w:rsidRPr="00504CD0">
        <w:rPr>
          <w:rFonts w:cs="Arial"/>
          <w:color w:val="000000"/>
          <w:sz w:val="22"/>
        </w:rPr>
        <w:instrText xml:space="preserve"> REF Tabla_1 \* MERGEFORMAT </w:instrText>
      </w:r>
      <w:r w:rsidRPr="00504CD0">
        <w:rPr>
          <w:rFonts w:cs="Arial"/>
          <w:color w:val="000000"/>
          <w:sz w:val="22"/>
        </w:rPr>
        <w:fldChar w:fldCharType="separate"/>
      </w:r>
      <w:r w:rsidRPr="001D6FBF">
        <w:rPr>
          <w:rFonts w:cs="Arial"/>
          <w:color w:val="000000"/>
          <w:sz w:val="22"/>
        </w:rPr>
        <w:t>Tabla</w:t>
      </w:r>
      <w:r w:rsidRPr="001D6FBF">
        <w:t xml:space="preserve"> </w:t>
      </w:r>
      <w:r w:rsidRPr="001D6FBF">
        <w:rPr>
          <w:rFonts w:cs="Arial"/>
          <w:noProof/>
          <w:color w:val="000000"/>
          <w:sz w:val="22"/>
        </w:rPr>
        <w:t>1</w:t>
      </w:r>
      <w:r w:rsidRPr="00504CD0">
        <w:rPr>
          <w:rFonts w:cs="Arial"/>
          <w:color w:val="000000"/>
          <w:sz w:val="22"/>
        </w:rPr>
        <w:fldChar w:fldCharType="end"/>
      </w:r>
      <w:r w:rsidRPr="00504CD0">
        <w:rPr>
          <w:rFonts w:cs="Arial"/>
          <w:color w:val="000000"/>
          <w:sz w:val="22"/>
        </w:rPr>
        <w:t>,</w:t>
      </w:r>
      <w:r>
        <w:t xml:space="preserve"> </w:t>
      </w:r>
      <w:r w:rsidRPr="00504CD0">
        <w:rPr>
          <w:rFonts w:cs="Arial"/>
          <w:color w:val="000000"/>
          <w:sz w:val="22"/>
        </w:rPr>
        <w:t>el</w:t>
      </w:r>
      <w:r>
        <w:t xml:space="preserve"> </w:t>
      </w:r>
      <w:r w:rsidRPr="00504CD0">
        <w:rPr>
          <w:rFonts w:cs="Arial"/>
          <w:color w:val="000000"/>
          <w:sz w:val="22"/>
        </w:rPr>
        <w:t>umbral</w:t>
      </w:r>
      <w:r>
        <w:t xml:space="preserve"> </w:t>
      </w:r>
      <w:r w:rsidRPr="00504CD0">
        <w:rPr>
          <w:rFonts w:cs="Arial"/>
          <w:color w:val="000000"/>
          <w:sz w:val="22"/>
        </w:rPr>
        <w:t>llevaría</w:t>
      </w:r>
      <w:r>
        <w:t xml:space="preserve"> </w:t>
      </w:r>
      <w:r w:rsidRPr="00504CD0">
        <w:rPr>
          <w:rFonts w:cs="Arial"/>
          <w:color w:val="000000"/>
          <w:sz w:val="22"/>
        </w:rPr>
        <w:t>el</w:t>
      </w:r>
      <w:r>
        <w:t xml:space="preserve"> </w:t>
      </w:r>
      <w:r w:rsidRPr="00504CD0">
        <w:rPr>
          <w:rFonts w:cs="Arial"/>
          <w:color w:val="000000"/>
          <w:sz w:val="22"/>
        </w:rPr>
        <w:t>embalse</w:t>
      </w:r>
      <w:r>
        <w:t xml:space="preserve"> </w:t>
      </w:r>
      <w:r w:rsidRPr="00504CD0">
        <w:rPr>
          <w:rFonts w:cs="Arial"/>
          <w:color w:val="000000"/>
          <w:sz w:val="22"/>
        </w:rPr>
        <w:t>parcial</w:t>
      </w:r>
      <w:r>
        <w:t xml:space="preserve"> </w:t>
      </w:r>
      <w:r w:rsidRPr="00504CD0">
        <w:rPr>
          <w:rFonts w:cs="Arial"/>
          <w:color w:val="000000"/>
          <w:sz w:val="22"/>
        </w:rPr>
        <w:t>a</w:t>
      </w:r>
      <w:r>
        <w:t xml:space="preserve"> </w:t>
      </w:r>
      <w:r w:rsidRPr="00504CD0">
        <w:rPr>
          <w:rFonts w:cs="Arial"/>
          <w:color w:val="000000"/>
          <w:sz w:val="22"/>
        </w:rPr>
        <w:t>un</w:t>
      </w:r>
      <w:r>
        <w:t xml:space="preserve"> </w:t>
      </w:r>
      <w:r w:rsidRPr="00504CD0">
        <w:rPr>
          <w:rFonts w:cs="Arial"/>
          <w:color w:val="000000"/>
          <w:sz w:val="22"/>
        </w:rPr>
        <w:t>87,6</w:t>
      </w:r>
      <w:r>
        <w:t xml:space="preserve"> </w:t>
      </w:r>
      <w:r w:rsidRPr="00504CD0">
        <w:rPr>
          <w:rFonts w:cs="Arial"/>
          <w:color w:val="000000"/>
          <w:sz w:val="22"/>
        </w:rPr>
        <w:t>%</w:t>
      </w:r>
      <w:r>
        <w:t xml:space="preserve"> </w:t>
      </w:r>
      <w:r w:rsidRPr="00504CD0">
        <w:rPr>
          <w:rFonts w:cs="Arial"/>
          <w:color w:val="000000"/>
          <w:sz w:val="22"/>
        </w:rPr>
        <w:t>al</w:t>
      </w:r>
      <w:r>
        <w:t xml:space="preserve"> </w:t>
      </w:r>
      <w:r w:rsidRPr="00504CD0">
        <w:rPr>
          <w:rFonts w:cs="Arial"/>
          <w:color w:val="000000"/>
          <w:sz w:val="22"/>
        </w:rPr>
        <w:t>final</w:t>
      </w:r>
      <w:r>
        <w:t xml:space="preserve"> </w:t>
      </w:r>
      <w:r w:rsidRPr="00504CD0">
        <w:rPr>
          <w:rFonts w:cs="Arial"/>
          <w:color w:val="000000"/>
          <w:sz w:val="22"/>
        </w:rPr>
        <w:t>del</w:t>
      </w:r>
      <w:r>
        <w:t xml:space="preserve"> </w:t>
      </w:r>
      <w:r w:rsidRPr="00504CD0">
        <w:rPr>
          <w:rFonts w:cs="Arial"/>
          <w:color w:val="000000"/>
          <w:sz w:val="22"/>
        </w:rPr>
        <w:t>invierno,</w:t>
      </w:r>
      <w:r>
        <w:t xml:space="preserve"> </w:t>
      </w:r>
      <w:r w:rsidRPr="00504CD0">
        <w:rPr>
          <w:rFonts w:cs="Arial"/>
          <w:color w:val="000000"/>
          <w:sz w:val="22"/>
        </w:rPr>
        <w:t>mientras</w:t>
      </w:r>
      <w:r>
        <w:t xml:space="preserve"> </w:t>
      </w:r>
      <w:r w:rsidRPr="00504CD0">
        <w:rPr>
          <w:rFonts w:cs="Arial"/>
          <w:color w:val="000000"/>
          <w:sz w:val="22"/>
        </w:rPr>
        <w:t>que</w:t>
      </w:r>
      <w:r>
        <w:t xml:space="preserve"> </w:t>
      </w:r>
      <w:r w:rsidRPr="00504CD0">
        <w:rPr>
          <w:rFonts w:cs="Arial"/>
          <w:color w:val="000000"/>
          <w:sz w:val="22"/>
        </w:rPr>
        <w:t>la</w:t>
      </w:r>
      <w:r>
        <w:t xml:space="preserve"> </w:t>
      </w:r>
      <w:r w:rsidRPr="00504CD0">
        <w:rPr>
          <w:rFonts w:cs="Arial"/>
          <w:color w:val="000000"/>
          <w:sz w:val="22"/>
        </w:rPr>
        <w:t>propuesta</w:t>
      </w:r>
      <w:r>
        <w:t xml:space="preserve"> </w:t>
      </w:r>
      <w:r w:rsidRPr="00504CD0">
        <w:rPr>
          <w:rFonts w:cs="Arial"/>
          <w:color w:val="000000"/>
          <w:sz w:val="22"/>
        </w:rPr>
        <w:t>del</w:t>
      </w:r>
      <w:r>
        <w:t xml:space="preserve"> </w:t>
      </w:r>
      <w:r w:rsidRPr="00504CD0">
        <w:rPr>
          <w:rFonts w:cs="Arial"/>
          <w:color w:val="000000"/>
          <w:sz w:val="22"/>
        </w:rPr>
        <w:t>CND,</w:t>
      </w:r>
      <w:r>
        <w:t xml:space="preserve"> </w:t>
      </w:r>
      <w:r w:rsidRPr="00504CD0">
        <w:rPr>
          <w:rFonts w:cs="Arial"/>
          <w:color w:val="000000"/>
          <w:sz w:val="22"/>
        </w:rPr>
        <w:t>ilustrada</w:t>
      </w:r>
      <w:r>
        <w:t xml:space="preserve"> </w:t>
      </w:r>
      <w:r w:rsidRPr="00504CD0">
        <w:rPr>
          <w:rFonts w:cs="Arial"/>
          <w:color w:val="000000"/>
          <w:sz w:val="22"/>
        </w:rPr>
        <w:t>en</w:t>
      </w:r>
      <w:r>
        <w:t xml:space="preserve"> </w:t>
      </w:r>
      <w:r w:rsidRPr="00504CD0">
        <w:rPr>
          <w:rFonts w:cs="Arial"/>
          <w:color w:val="000000"/>
          <w:sz w:val="22"/>
        </w:rPr>
        <w:t>la</w:t>
      </w:r>
      <w:r>
        <w:t xml:space="preserve"> </w:t>
      </w:r>
      <w:r w:rsidRPr="00B44393">
        <w:rPr>
          <w:rFonts w:cs="Arial"/>
          <w:color w:val="000000"/>
          <w:sz w:val="22"/>
        </w:rPr>
        <w:t xml:space="preserve">Figura </w:t>
      </w:r>
      <w:r w:rsidRPr="00504CD0">
        <w:rPr>
          <w:rFonts w:cs="Arial"/>
          <w:color w:val="000000"/>
          <w:sz w:val="22"/>
        </w:rPr>
        <w:fldChar w:fldCharType="begin"/>
      </w:r>
      <w:r w:rsidRPr="00504CD0">
        <w:rPr>
          <w:rFonts w:cs="Arial"/>
          <w:color w:val="000000"/>
          <w:sz w:val="22"/>
        </w:rPr>
        <w:instrText xml:space="preserve"> REF Figura_8 \* MERGEFORMAT </w:instrText>
      </w:r>
      <w:r w:rsidRPr="00504CD0">
        <w:rPr>
          <w:rFonts w:cs="Arial"/>
          <w:color w:val="000000"/>
          <w:sz w:val="22"/>
        </w:rPr>
        <w:fldChar w:fldCharType="separate"/>
      </w:r>
      <w:r w:rsidRPr="001D6FBF">
        <w:rPr>
          <w:rFonts w:cs="Arial"/>
          <w:color w:val="000000"/>
          <w:sz w:val="22"/>
          <w:lang w:val="es-CO"/>
        </w:rPr>
        <w:t>4</w:t>
      </w:r>
      <w:r w:rsidRPr="00504CD0">
        <w:rPr>
          <w:rFonts w:cs="Arial"/>
          <w:color w:val="000000"/>
          <w:sz w:val="22"/>
        </w:rPr>
        <w:fldChar w:fldCharType="end"/>
      </w:r>
      <w:r>
        <w:t xml:space="preserve"> </w:t>
      </w:r>
      <w:r w:rsidRPr="00504CD0">
        <w:rPr>
          <w:rFonts w:cs="Arial"/>
          <w:color w:val="000000"/>
          <w:sz w:val="22"/>
        </w:rPr>
        <w:t>y</w:t>
      </w:r>
      <w:r>
        <w:t xml:space="preserve"> </w:t>
      </w:r>
      <w:r w:rsidRPr="00504CD0">
        <w:rPr>
          <w:rFonts w:cs="Arial"/>
          <w:color w:val="000000"/>
          <w:sz w:val="22"/>
        </w:rPr>
        <w:t>detallada</w:t>
      </w:r>
      <w:r>
        <w:t xml:space="preserve"> </w:t>
      </w:r>
      <w:r w:rsidRPr="00504CD0">
        <w:rPr>
          <w:rFonts w:cs="Arial"/>
          <w:color w:val="000000"/>
          <w:sz w:val="22"/>
        </w:rPr>
        <w:t>en</w:t>
      </w:r>
      <w:r>
        <w:t xml:space="preserve"> </w:t>
      </w:r>
      <w:r w:rsidRPr="00504CD0">
        <w:rPr>
          <w:rFonts w:cs="Arial"/>
          <w:color w:val="000000"/>
          <w:sz w:val="22"/>
        </w:rPr>
        <w:t>la</w:t>
      </w:r>
      <w:r>
        <w:t xml:space="preserve"> </w:t>
      </w:r>
      <w:r w:rsidRPr="00504CD0">
        <w:rPr>
          <w:rFonts w:cs="Arial"/>
          <w:color w:val="000000"/>
          <w:sz w:val="22"/>
        </w:rPr>
        <w:fldChar w:fldCharType="begin"/>
      </w:r>
      <w:r w:rsidRPr="00504CD0">
        <w:rPr>
          <w:rFonts w:cs="Arial"/>
          <w:color w:val="000000"/>
          <w:sz w:val="22"/>
        </w:rPr>
        <w:instrText xml:space="preserve"> REF Tabla_2 \* MERGEFORMAT </w:instrText>
      </w:r>
      <w:r w:rsidRPr="00504CD0">
        <w:rPr>
          <w:rFonts w:cs="Arial"/>
          <w:color w:val="000000"/>
          <w:sz w:val="22"/>
        </w:rPr>
        <w:fldChar w:fldCharType="separate"/>
      </w:r>
      <w:r w:rsidRPr="001D6FBF">
        <w:rPr>
          <w:rFonts w:cs="Arial"/>
          <w:color w:val="000000"/>
          <w:sz w:val="22"/>
        </w:rPr>
        <w:t>Tabla</w:t>
      </w:r>
      <w:r w:rsidRPr="001D6FBF">
        <w:t xml:space="preserve"> </w:t>
      </w:r>
      <w:r w:rsidRPr="001D6FBF">
        <w:rPr>
          <w:rFonts w:cs="Arial"/>
          <w:noProof/>
          <w:color w:val="000000"/>
          <w:sz w:val="22"/>
        </w:rPr>
        <w:t>2</w:t>
      </w:r>
      <w:r w:rsidRPr="00504CD0">
        <w:rPr>
          <w:rFonts w:cs="Arial"/>
          <w:color w:val="000000"/>
          <w:sz w:val="22"/>
        </w:rPr>
        <w:fldChar w:fldCharType="end"/>
      </w:r>
      <w:r w:rsidRPr="00504CD0">
        <w:rPr>
          <w:rFonts w:cs="Arial"/>
          <w:color w:val="000000"/>
          <w:sz w:val="22"/>
        </w:rPr>
        <w:t>,</w:t>
      </w:r>
      <w:r>
        <w:t xml:space="preserve"> </w:t>
      </w:r>
      <w:r w:rsidRPr="00504CD0">
        <w:rPr>
          <w:rFonts w:cs="Arial"/>
          <w:color w:val="000000"/>
          <w:sz w:val="22"/>
        </w:rPr>
        <w:t>lo</w:t>
      </w:r>
      <w:r>
        <w:t xml:space="preserve"> </w:t>
      </w:r>
      <w:r w:rsidRPr="00504CD0">
        <w:rPr>
          <w:rFonts w:cs="Arial"/>
          <w:color w:val="000000"/>
          <w:sz w:val="22"/>
        </w:rPr>
        <w:t>llevaría</w:t>
      </w:r>
      <w:r>
        <w:t xml:space="preserve"> </w:t>
      </w:r>
      <w:r w:rsidRPr="00504CD0">
        <w:rPr>
          <w:rFonts w:cs="Arial"/>
          <w:color w:val="000000"/>
          <w:sz w:val="22"/>
        </w:rPr>
        <w:t>a</w:t>
      </w:r>
      <w:r>
        <w:t xml:space="preserve"> </w:t>
      </w:r>
      <w:r w:rsidRPr="00504CD0">
        <w:rPr>
          <w:rFonts w:cs="Arial"/>
          <w:color w:val="000000"/>
          <w:sz w:val="22"/>
        </w:rPr>
        <w:t>un</w:t>
      </w:r>
      <w:r>
        <w:t xml:space="preserve"> </w:t>
      </w:r>
      <w:r w:rsidRPr="00504CD0">
        <w:rPr>
          <w:rFonts w:cs="Arial"/>
          <w:color w:val="000000"/>
          <w:sz w:val="22"/>
        </w:rPr>
        <w:t>92,4</w:t>
      </w:r>
      <w:r>
        <w:t xml:space="preserve"> </w:t>
      </w:r>
      <w:r w:rsidRPr="00504CD0">
        <w:rPr>
          <w:rFonts w:cs="Arial"/>
          <w:color w:val="000000"/>
          <w:sz w:val="22"/>
        </w:rPr>
        <w:t>%.</w:t>
      </w:r>
    </w:p>
    <w:p w14:paraId="2BF10C31" w14:textId="77777777" w:rsidR="008838A5" w:rsidRDefault="008838A5" w:rsidP="008838A5">
      <w:pPr>
        <w:spacing w:before="120" w:after="120"/>
        <w:rPr>
          <w:rFonts w:cs="Arial"/>
          <w:color w:val="000000"/>
          <w:sz w:val="22"/>
        </w:rPr>
      </w:pPr>
      <w:r w:rsidRPr="00504CD0">
        <w:rPr>
          <w:rFonts w:cs="Arial"/>
          <w:color w:val="000000"/>
          <w:sz w:val="22"/>
        </w:rPr>
        <w:t>Frente</w:t>
      </w:r>
      <w:r>
        <w:t xml:space="preserve"> </w:t>
      </w:r>
      <w:r w:rsidRPr="00504CD0">
        <w:rPr>
          <w:rFonts w:cs="Arial"/>
          <w:color w:val="000000"/>
          <w:sz w:val="22"/>
        </w:rPr>
        <w:t>al</w:t>
      </w:r>
      <w:r>
        <w:t xml:space="preserve"> </w:t>
      </w:r>
      <w:r w:rsidRPr="00504CD0">
        <w:rPr>
          <w:rFonts w:cs="Arial"/>
          <w:color w:val="000000"/>
          <w:sz w:val="22"/>
        </w:rPr>
        <w:t>nivel</w:t>
      </w:r>
      <w:r>
        <w:t xml:space="preserve"> </w:t>
      </w:r>
      <w:r w:rsidRPr="00504CD0">
        <w:rPr>
          <w:rFonts w:cs="Arial"/>
          <w:color w:val="000000"/>
          <w:sz w:val="22"/>
        </w:rPr>
        <w:t>observado</w:t>
      </w:r>
      <w:r>
        <w:t xml:space="preserve"> </w:t>
      </w:r>
      <w:r w:rsidRPr="00504CD0">
        <w:rPr>
          <w:rFonts w:cs="Arial"/>
          <w:color w:val="000000"/>
          <w:sz w:val="22"/>
        </w:rPr>
        <w:t>del</w:t>
      </w:r>
      <w:r>
        <w:t xml:space="preserve"> </w:t>
      </w:r>
      <w:r w:rsidRPr="00504CD0">
        <w:rPr>
          <w:rFonts w:cs="Arial"/>
          <w:color w:val="000000"/>
          <w:sz w:val="22"/>
        </w:rPr>
        <w:t>embalse</w:t>
      </w:r>
      <w:r>
        <w:t xml:space="preserve"> </w:t>
      </w:r>
      <w:r w:rsidRPr="00504CD0">
        <w:rPr>
          <w:rFonts w:cs="Arial"/>
          <w:color w:val="000000"/>
          <w:sz w:val="22"/>
        </w:rPr>
        <w:t>parcial,</w:t>
      </w:r>
      <w:r>
        <w:t xml:space="preserve"> </w:t>
      </w:r>
      <w:r w:rsidRPr="00504CD0">
        <w:rPr>
          <w:rFonts w:cs="Arial"/>
          <w:color w:val="000000"/>
          <w:sz w:val="22"/>
        </w:rPr>
        <w:t>cercano</w:t>
      </w:r>
      <w:r>
        <w:t xml:space="preserve"> </w:t>
      </w:r>
      <w:r w:rsidRPr="00504CD0">
        <w:rPr>
          <w:rFonts w:cs="Arial"/>
          <w:color w:val="000000"/>
          <w:sz w:val="22"/>
        </w:rPr>
        <w:t>al</w:t>
      </w:r>
      <w:r>
        <w:t xml:space="preserve"> </w:t>
      </w:r>
      <w:r w:rsidRPr="00504CD0">
        <w:rPr>
          <w:rFonts w:cs="Arial"/>
          <w:color w:val="000000"/>
          <w:sz w:val="22"/>
        </w:rPr>
        <w:t>82</w:t>
      </w:r>
      <w:r>
        <w:t xml:space="preserve"> </w:t>
      </w:r>
      <w:r w:rsidRPr="00504CD0">
        <w:rPr>
          <w:rFonts w:cs="Arial"/>
          <w:color w:val="000000"/>
          <w:sz w:val="22"/>
        </w:rPr>
        <w:t>%</w:t>
      </w:r>
      <w:r>
        <w:t xml:space="preserve"> </w:t>
      </w:r>
      <w:r w:rsidRPr="00504CD0">
        <w:rPr>
          <w:rFonts w:cs="Arial"/>
          <w:color w:val="000000"/>
          <w:sz w:val="22"/>
        </w:rPr>
        <w:t>el</w:t>
      </w:r>
      <w:r>
        <w:t xml:space="preserve"> </w:t>
      </w:r>
      <w:r w:rsidRPr="00504CD0">
        <w:rPr>
          <w:rFonts w:cs="Arial"/>
          <w:color w:val="000000"/>
          <w:sz w:val="22"/>
        </w:rPr>
        <w:t>2</w:t>
      </w:r>
      <w:r>
        <w:t xml:space="preserve"> </w:t>
      </w:r>
      <w:r w:rsidRPr="00504CD0">
        <w:rPr>
          <w:rFonts w:cs="Arial"/>
          <w:color w:val="000000"/>
          <w:sz w:val="22"/>
        </w:rPr>
        <w:t>de</w:t>
      </w:r>
      <w:r>
        <w:t xml:space="preserve"> </w:t>
      </w:r>
      <w:r w:rsidRPr="00504CD0">
        <w:rPr>
          <w:rFonts w:cs="Arial"/>
          <w:color w:val="000000"/>
          <w:sz w:val="22"/>
        </w:rPr>
        <w:t>septiembre</w:t>
      </w:r>
      <w:r>
        <w:t xml:space="preserve"> </w:t>
      </w:r>
      <w:r w:rsidRPr="00504CD0">
        <w:rPr>
          <w:rFonts w:cs="Arial"/>
          <w:color w:val="000000"/>
          <w:sz w:val="22"/>
        </w:rPr>
        <w:t>de</w:t>
      </w:r>
      <w:r>
        <w:t xml:space="preserve"> </w:t>
      </w:r>
      <w:r w:rsidRPr="00504CD0">
        <w:rPr>
          <w:rFonts w:cs="Arial"/>
          <w:color w:val="000000"/>
          <w:sz w:val="22"/>
        </w:rPr>
        <w:t>2026,</w:t>
      </w:r>
      <w:r>
        <w:t xml:space="preserve"> </w:t>
      </w:r>
      <w:r w:rsidRPr="00504CD0">
        <w:rPr>
          <w:rFonts w:cs="Arial"/>
          <w:color w:val="000000"/>
          <w:sz w:val="22"/>
        </w:rPr>
        <w:t>el</w:t>
      </w:r>
      <w:r>
        <w:t xml:space="preserve"> </w:t>
      </w:r>
      <w:r w:rsidRPr="00504CD0">
        <w:rPr>
          <w:rFonts w:cs="Arial"/>
          <w:color w:val="000000"/>
          <w:sz w:val="22"/>
        </w:rPr>
        <w:t>umbral</w:t>
      </w:r>
      <w:r>
        <w:t xml:space="preserve"> </w:t>
      </w:r>
      <w:r w:rsidRPr="00504CD0">
        <w:rPr>
          <w:rFonts w:cs="Arial"/>
          <w:color w:val="000000"/>
          <w:sz w:val="22"/>
        </w:rPr>
        <w:t>propuesto</w:t>
      </w:r>
      <w:r>
        <w:t xml:space="preserve"> </w:t>
      </w:r>
      <w:r w:rsidRPr="00504CD0">
        <w:rPr>
          <w:rFonts w:cs="Arial"/>
          <w:color w:val="000000"/>
          <w:sz w:val="22"/>
        </w:rPr>
        <w:t>por</w:t>
      </w:r>
      <w:r>
        <w:t xml:space="preserve"> </w:t>
      </w:r>
      <w:r w:rsidRPr="00504CD0">
        <w:rPr>
          <w:rFonts w:cs="Arial"/>
          <w:color w:val="000000"/>
          <w:sz w:val="22"/>
        </w:rPr>
        <w:t>el</w:t>
      </w:r>
      <w:r>
        <w:t xml:space="preserve"> </w:t>
      </w:r>
      <w:r w:rsidRPr="00504CD0">
        <w:rPr>
          <w:rFonts w:cs="Arial"/>
          <w:color w:val="000000"/>
          <w:sz w:val="22"/>
        </w:rPr>
        <w:t>CNO</w:t>
      </w:r>
      <w:r>
        <w:t xml:space="preserve"> </w:t>
      </w:r>
      <w:r w:rsidRPr="00504CD0">
        <w:rPr>
          <w:rFonts w:cs="Arial"/>
          <w:color w:val="000000"/>
          <w:sz w:val="22"/>
        </w:rPr>
        <w:t>resulta</w:t>
      </w:r>
      <w:r>
        <w:t xml:space="preserve"> </w:t>
      </w:r>
      <w:r w:rsidRPr="00504CD0">
        <w:rPr>
          <w:rFonts w:cs="Arial"/>
          <w:color w:val="000000"/>
          <w:sz w:val="22"/>
        </w:rPr>
        <w:t>menos</w:t>
      </w:r>
      <w:r>
        <w:t xml:space="preserve"> </w:t>
      </w:r>
      <w:r w:rsidRPr="00504CD0">
        <w:rPr>
          <w:rFonts w:cs="Arial"/>
          <w:color w:val="000000"/>
          <w:sz w:val="22"/>
        </w:rPr>
        <w:t>exigente:</w:t>
      </w:r>
      <w:r>
        <w:t xml:space="preserve"> </w:t>
      </w:r>
      <w:r w:rsidRPr="00504CD0">
        <w:rPr>
          <w:rFonts w:cs="Arial"/>
          <w:color w:val="000000"/>
          <w:sz w:val="22"/>
        </w:rPr>
        <w:t>requiere</w:t>
      </w:r>
      <w:r>
        <w:t xml:space="preserve"> </w:t>
      </w:r>
      <w:r w:rsidRPr="00504CD0">
        <w:rPr>
          <w:rFonts w:cs="Arial"/>
          <w:color w:val="000000"/>
          <w:sz w:val="22"/>
        </w:rPr>
        <w:t>menor</w:t>
      </w:r>
      <w:r>
        <w:t xml:space="preserve"> </w:t>
      </w:r>
      <w:r w:rsidRPr="00504CD0">
        <w:rPr>
          <w:rFonts w:cs="Arial"/>
          <w:color w:val="000000"/>
          <w:sz w:val="22"/>
        </w:rPr>
        <w:t>despacho</w:t>
      </w:r>
      <w:r>
        <w:t xml:space="preserve"> </w:t>
      </w:r>
      <w:r w:rsidRPr="00504CD0">
        <w:rPr>
          <w:rFonts w:cs="Arial"/>
          <w:color w:val="000000"/>
          <w:sz w:val="22"/>
        </w:rPr>
        <w:t>térmico</w:t>
      </w:r>
      <w:r>
        <w:t xml:space="preserve"> </w:t>
      </w:r>
      <w:r w:rsidRPr="00504CD0">
        <w:rPr>
          <w:rFonts w:cs="Arial"/>
          <w:color w:val="000000"/>
          <w:sz w:val="22"/>
        </w:rPr>
        <w:t>y</w:t>
      </w:r>
      <w:r>
        <w:t xml:space="preserve"> </w:t>
      </w:r>
      <w:r w:rsidRPr="00504CD0">
        <w:rPr>
          <w:rFonts w:cs="Arial"/>
          <w:color w:val="000000"/>
          <w:sz w:val="22"/>
        </w:rPr>
        <w:t>una</w:t>
      </w:r>
      <w:r>
        <w:t xml:space="preserve"> </w:t>
      </w:r>
      <w:r w:rsidRPr="00504CD0">
        <w:rPr>
          <w:rFonts w:cs="Arial"/>
          <w:color w:val="000000"/>
          <w:sz w:val="22"/>
        </w:rPr>
        <w:t>duración</w:t>
      </w:r>
      <w:r>
        <w:t xml:space="preserve"> </w:t>
      </w:r>
      <w:r w:rsidRPr="00504CD0">
        <w:rPr>
          <w:rFonts w:cs="Arial"/>
          <w:color w:val="000000"/>
          <w:sz w:val="22"/>
        </w:rPr>
        <w:t>más</w:t>
      </w:r>
      <w:r>
        <w:t xml:space="preserve"> </w:t>
      </w:r>
      <w:r w:rsidRPr="00504CD0">
        <w:rPr>
          <w:rFonts w:cs="Arial"/>
          <w:color w:val="000000"/>
          <w:sz w:val="22"/>
        </w:rPr>
        <w:t>corta</w:t>
      </w:r>
      <w:r>
        <w:t xml:space="preserve"> </w:t>
      </w:r>
      <w:r w:rsidRPr="00504CD0">
        <w:rPr>
          <w:rFonts w:cs="Arial"/>
          <w:color w:val="000000"/>
          <w:sz w:val="22"/>
        </w:rPr>
        <w:t>de</w:t>
      </w:r>
      <w:r>
        <w:t xml:space="preserve"> </w:t>
      </w:r>
      <w:r w:rsidRPr="00504CD0">
        <w:rPr>
          <w:rFonts w:cs="Arial"/>
          <w:color w:val="000000"/>
          <w:sz w:val="22"/>
        </w:rPr>
        <w:t>la</w:t>
      </w:r>
      <w:r>
        <w:t xml:space="preserve"> </w:t>
      </w:r>
      <w:r w:rsidRPr="00504CD0">
        <w:rPr>
          <w:rFonts w:cs="Arial"/>
          <w:color w:val="000000"/>
          <w:sz w:val="22"/>
        </w:rPr>
        <w:t>activación</w:t>
      </w:r>
      <w:r>
        <w:t xml:space="preserve"> </w:t>
      </w:r>
      <w:r w:rsidRPr="00504CD0">
        <w:rPr>
          <w:rFonts w:cs="Arial"/>
          <w:color w:val="000000"/>
          <w:sz w:val="22"/>
        </w:rPr>
        <w:t>de</w:t>
      </w:r>
      <w:r>
        <w:t xml:space="preserve"> </w:t>
      </w:r>
      <w:r w:rsidRPr="00504CD0">
        <w:rPr>
          <w:rFonts w:cs="Arial"/>
          <w:color w:val="000000"/>
          <w:sz w:val="22"/>
        </w:rPr>
        <w:t>la</w:t>
      </w:r>
      <w:r>
        <w:t xml:space="preserve"> </w:t>
      </w:r>
      <w:r w:rsidRPr="00504CD0">
        <w:rPr>
          <w:rFonts w:cs="Arial"/>
          <w:color w:val="000000"/>
          <w:sz w:val="22"/>
        </w:rPr>
        <w:t>medida</w:t>
      </w:r>
      <w:r>
        <w:t xml:space="preserve"> </w:t>
      </w:r>
      <w:r w:rsidRPr="00504CD0">
        <w:rPr>
          <w:rFonts w:cs="Arial"/>
          <w:color w:val="000000"/>
          <w:sz w:val="22"/>
        </w:rPr>
        <w:t>transitoria</w:t>
      </w:r>
      <w:r>
        <w:t xml:space="preserve"> </w:t>
      </w:r>
      <w:r w:rsidRPr="00504CD0">
        <w:rPr>
          <w:rFonts w:cs="Arial"/>
          <w:color w:val="000000"/>
          <w:sz w:val="22"/>
        </w:rPr>
        <w:t>para</w:t>
      </w:r>
      <w:r>
        <w:t xml:space="preserve"> </w:t>
      </w:r>
      <w:r w:rsidRPr="00504CD0">
        <w:rPr>
          <w:rFonts w:cs="Arial"/>
          <w:color w:val="000000"/>
          <w:sz w:val="22"/>
        </w:rPr>
        <w:t>recuperar</w:t>
      </w:r>
      <w:r>
        <w:t xml:space="preserve"> </w:t>
      </w:r>
      <w:r w:rsidRPr="00504CD0">
        <w:rPr>
          <w:rFonts w:cs="Arial"/>
          <w:color w:val="000000"/>
          <w:sz w:val="22"/>
        </w:rPr>
        <w:t>el</w:t>
      </w:r>
      <w:r>
        <w:t xml:space="preserve"> </w:t>
      </w:r>
      <w:r w:rsidRPr="00504CD0">
        <w:rPr>
          <w:rFonts w:cs="Arial"/>
          <w:color w:val="000000"/>
          <w:sz w:val="22"/>
        </w:rPr>
        <w:t>embalse.</w:t>
      </w:r>
      <w:r>
        <w:t xml:space="preserve"> </w:t>
      </w:r>
      <w:r w:rsidRPr="00504CD0">
        <w:rPr>
          <w:rFonts w:cs="Arial"/>
          <w:color w:val="000000"/>
          <w:sz w:val="22"/>
        </w:rPr>
        <w:t>El</w:t>
      </w:r>
      <w:r>
        <w:t xml:space="preserve"> </w:t>
      </w:r>
      <w:r w:rsidRPr="00504CD0">
        <w:rPr>
          <w:rFonts w:cs="Arial"/>
          <w:color w:val="000000"/>
          <w:sz w:val="22"/>
        </w:rPr>
        <w:t>umbral</w:t>
      </w:r>
      <w:r>
        <w:t xml:space="preserve"> </w:t>
      </w:r>
      <w:r w:rsidRPr="00504CD0">
        <w:rPr>
          <w:rFonts w:cs="Arial"/>
          <w:color w:val="000000"/>
          <w:sz w:val="22"/>
        </w:rPr>
        <w:t>propuesto</w:t>
      </w:r>
      <w:r>
        <w:t xml:space="preserve"> </w:t>
      </w:r>
      <w:r w:rsidRPr="00504CD0">
        <w:rPr>
          <w:rFonts w:cs="Arial"/>
          <w:color w:val="000000"/>
          <w:sz w:val="22"/>
        </w:rPr>
        <w:t>por</w:t>
      </w:r>
      <w:r>
        <w:t xml:space="preserve"> </w:t>
      </w:r>
      <w:r w:rsidRPr="00504CD0">
        <w:rPr>
          <w:rFonts w:cs="Arial"/>
          <w:color w:val="000000"/>
          <w:sz w:val="22"/>
        </w:rPr>
        <w:t>el</w:t>
      </w:r>
      <w:r>
        <w:t xml:space="preserve"> </w:t>
      </w:r>
      <w:r w:rsidRPr="00504CD0">
        <w:rPr>
          <w:rFonts w:cs="Arial"/>
          <w:color w:val="000000"/>
          <w:sz w:val="22"/>
        </w:rPr>
        <w:t>CND,</w:t>
      </w:r>
      <w:r>
        <w:t xml:space="preserve"> </w:t>
      </w:r>
      <w:r w:rsidRPr="00504CD0">
        <w:rPr>
          <w:rFonts w:cs="Arial"/>
          <w:color w:val="000000"/>
          <w:sz w:val="22"/>
        </w:rPr>
        <w:t>en</w:t>
      </w:r>
      <w:r>
        <w:t xml:space="preserve"> </w:t>
      </w:r>
      <w:r w:rsidRPr="00504CD0">
        <w:rPr>
          <w:rFonts w:cs="Arial"/>
          <w:color w:val="000000"/>
          <w:sz w:val="22"/>
        </w:rPr>
        <w:t>cambio,</w:t>
      </w:r>
      <w:r>
        <w:t xml:space="preserve"> </w:t>
      </w:r>
      <w:r w:rsidRPr="00504CD0">
        <w:rPr>
          <w:rFonts w:cs="Arial"/>
          <w:color w:val="000000"/>
          <w:sz w:val="22"/>
        </w:rPr>
        <w:t>exige</w:t>
      </w:r>
      <w:r>
        <w:t xml:space="preserve"> </w:t>
      </w:r>
      <w:r w:rsidRPr="00504CD0">
        <w:rPr>
          <w:rFonts w:cs="Arial"/>
          <w:color w:val="000000"/>
          <w:sz w:val="22"/>
        </w:rPr>
        <w:t>un</w:t>
      </w:r>
      <w:r>
        <w:t xml:space="preserve"> </w:t>
      </w:r>
      <w:r w:rsidRPr="00504CD0">
        <w:rPr>
          <w:rFonts w:cs="Arial"/>
          <w:color w:val="000000"/>
          <w:sz w:val="22"/>
        </w:rPr>
        <w:t>esfuerzo</w:t>
      </w:r>
      <w:r>
        <w:t xml:space="preserve"> </w:t>
      </w:r>
      <w:r w:rsidRPr="00504CD0">
        <w:rPr>
          <w:rFonts w:cs="Arial"/>
          <w:color w:val="000000"/>
          <w:sz w:val="22"/>
        </w:rPr>
        <w:t>térmico</w:t>
      </w:r>
      <w:r>
        <w:t xml:space="preserve"> </w:t>
      </w:r>
      <w:r w:rsidRPr="00504CD0">
        <w:rPr>
          <w:rFonts w:cs="Arial"/>
          <w:color w:val="000000"/>
          <w:sz w:val="22"/>
        </w:rPr>
        <w:t>considerablemente</w:t>
      </w:r>
      <w:r>
        <w:t xml:space="preserve"> </w:t>
      </w:r>
      <w:r w:rsidRPr="00504CD0">
        <w:rPr>
          <w:rFonts w:cs="Arial"/>
          <w:color w:val="000000"/>
          <w:sz w:val="22"/>
        </w:rPr>
        <w:t>mayor</w:t>
      </w:r>
      <w:r>
        <w:t xml:space="preserve"> </w:t>
      </w:r>
      <w:r w:rsidRPr="00504CD0">
        <w:rPr>
          <w:rFonts w:cs="Arial"/>
          <w:color w:val="000000"/>
          <w:sz w:val="22"/>
        </w:rPr>
        <w:t>y</w:t>
      </w:r>
      <w:r>
        <w:t xml:space="preserve"> </w:t>
      </w:r>
      <w:r w:rsidRPr="00504CD0">
        <w:rPr>
          <w:rFonts w:cs="Arial"/>
          <w:color w:val="000000"/>
          <w:sz w:val="22"/>
        </w:rPr>
        <w:t>una</w:t>
      </w:r>
      <w:r>
        <w:t xml:space="preserve"> </w:t>
      </w:r>
      <w:r w:rsidRPr="00504CD0">
        <w:rPr>
          <w:rFonts w:cs="Arial"/>
          <w:color w:val="000000"/>
          <w:sz w:val="22"/>
        </w:rPr>
        <w:t>activación</w:t>
      </w:r>
      <w:r>
        <w:t xml:space="preserve"> </w:t>
      </w:r>
      <w:r w:rsidRPr="00504CD0">
        <w:rPr>
          <w:rFonts w:cs="Arial"/>
          <w:color w:val="000000"/>
          <w:sz w:val="22"/>
        </w:rPr>
        <w:t>más</w:t>
      </w:r>
      <w:r>
        <w:t xml:space="preserve"> </w:t>
      </w:r>
      <w:r w:rsidRPr="00504CD0">
        <w:rPr>
          <w:rFonts w:cs="Arial"/>
          <w:color w:val="000000"/>
          <w:sz w:val="22"/>
        </w:rPr>
        <w:t>prolongada.</w:t>
      </w:r>
    </w:p>
    <w:p w14:paraId="596D816D" w14:textId="77777777" w:rsidR="008838A5" w:rsidRDefault="008838A5" w:rsidP="008838A5">
      <w:pPr>
        <w:spacing w:before="120" w:after="120"/>
        <w:rPr>
          <w:rFonts w:cs="Arial"/>
          <w:color w:val="000000"/>
          <w:sz w:val="22"/>
        </w:rPr>
      </w:pPr>
      <w:r w:rsidRPr="00C751B6">
        <w:rPr>
          <w:rFonts w:cs="Arial"/>
          <w:color w:val="000000"/>
          <w:sz w:val="22"/>
        </w:rPr>
        <w:t>El umbral ISO-térmica de 85 GWh/día responde a una percepción de riesgo de mediano plazo sobre el abastecimiento confiable y seguro de la demanda durante el verano de diciembre de 2026 a abril de 2027. Al señalizar un nivel de embalse más alto —del orden del 92,4 % al final del invierno, el 30 de noviembre de 2026—, el umbral preserva un margen de seguridad para transitar la estación seca frente a tres contingencias que la construcción de las curvas no captura en su totalidad: la indisponibilidad no prevista de plantas de generación; un impacto del fenómeno de El Niño más severo que la hidrología crítica supuesta en las ISO-GT, que deterioraría los aportes por debajo de la serie de referencia; y un aumento inesperado de la demanda por efecto de altas temperaturas. Ese margen es el que permite preparar el sistema con anticipación —activando el despacho térmico y la recuperación del almacenamiento— antes de que el embalse alcance niveles críticos. Se privilegia, por tanto, el criterio de prudencia y de confiabilidad de mediano plazo sobre el menor esfuerzo térmico de corto plazo asociado a la propuesta del CNO.</w:t>
      </w:r>
    </w:p>
    <w:p w14:paraId="590B1354" w14:textId="77777777" w:rsidR="008838A5" w:rsidRPr="00D33F51" w:rsidRDefault="008838A5" w:rsidP="008838A5">
      <w:pPr>
        <w:spacing w:before="120" w:after="120"/>
        <w:rPr>
          <w:rFonts w:cs="Arial"/>
          <w:color w:val="000000"/>
          <w:sz w:val="22"/>
        </w:rPr>
      </w:pPr>
      <w:r w:rsidRPr="00D33F51">
        <w:rPr>
          <w:rFonts w:cs="Arial"/>
          <w:color w:val="000000"/>
          <w:sz w:val="22"/>
        </w:rPr>
        <w:t>Conviene precisar que la recuperación del embalse hasta el nivel señalizado por el umbral no depende únicamente del despacho térmico. La trayectoria de las curvas ISO-GT supone, de manera concurrente, que los recursos sin capacidad de almacenamiento —plantas filo de agua, plantas no despachadas centralmente y demás recursos con energía firme— generen al menos lo estimado en el cálculo y por encima de su ENFICC; que la demanda se mantenga igual o por debajo de la proyección adoptada en el numeral 3.2; que la hidrología del invierno resulte igual o mejor que la serie crítica de aportes del numeral 3.3; y que el parque de generación térmica opere con disponibilidad alta durante el período de activación. La desviación de cualquiera de estos supuestos reduce el aporte neto al embalse y, en consecuencia, exige un esfuerzo térmico mayor o una activación más prolongada que la implícita en la curva.</w:t>
      </w:r>
    </w:p>
    <w:p w14:paraId="18F16A77" w14:textId="77777777" w:rsidR="008838A5" w:rsidRDefault="008838A5" w:rsidP="008838A5">
      <w:pPr>
        <w:spacing w:after="160"/>
        <w:rPr>
          <w:sz w:val="22"/>
          <w:szCs w:val="22"/>
          <w:lang w:val="es-CO"/>
        </w:rPr>
      </w:pPr>
    </w:p>
    <w:p w14:paraId="008E0EC2" w14:textId="77777777" w:rsidR="008838A5" w:rsidRDefault="008838A5" w:rsidP="008838A5">
      <w:pPr>
        <w:jc w:val="center"/>
        <w:rPr>
          <w:sz w:val="22"/>
          <w:szCs w:val="22"/>
          <w:lang w:val="es-CO"/>
        </w:rPr>
      </w:pPr>
      <w:r w:rsidRPr="00E47E3C">
        <w:rPr>
          <w:noProof/>
          <w:sz w:val="22"/>
          <w:szCs w:val="22"/>
        </w:rPr>
        <w:lastRenderedPageBreak/>
        <w:drawing>
          <wp:inline distT="0" distB="0" distL="0" distR="0" wp14:anchorId="7F3D4DD7" wp14:editId="6DE03BF2">
            <wp:extent cx="5340948" cy="2520000"/>
            <wp:effectExtent l="0" t="0" r="0" b="0"/>
            <wp:docPr id="19" name="Imagen 18">
              <a:extLst xmlns:a="http://schemas.openxmlformats.org/drawingml/2006/main">
                <a:ext uri="{FF2B5EF4-FFF2-40B4-BE49-F238E27FC236}">
                  <a16:creationId xmlns:a16="http://schemas.microsoft.com/office/drawing/2014/main" id="{CF667FB0-7D08-EB61-7F79-CF40662F5E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8">
                      <a:extLst>
                        <a:ext uri="{FF2B5EF4-FFF2-40B4-BE49-F238E27FC236}">
                          <a16:creationId xmlns:a16="http://schemas.microsoft.com/office/drawing/2014/main" id="{CF667FB0-7D08-EB61-7F79-CF40662F5E99}"/>
                        </a:ext>
                      </a:extLst>
                    </pic:cNvPr>
                    <pic:cNvPicPr>
                      <a:picLocks noChangeAspect="1"/>
                    </pic:cNvPicPr>
                  </pic:nvPicPr>
                  <pic:blipFill>
                    <a:blip r:embed="rId11"/>
                    <a:stretch>
                      <a:fillRect/>
                    </a:stretch>
                  </pic:blipFill>
                  <pic:spPr>
                    <a:xfrm>
                      <a:off x="0" y="0"/>
                      <a:ext cx="5340948" cy="2520000"/>
                    </a:xfrm>
                    <a:prstGeom prst="rect">
                      <a:avLst/>
                    </a:prstGeom>
                  </pic:spPr>
                </pic:pic>
              </a:graphicData>
            </a:graphic>
          </wp:inline>
        </w:drawing>
      </w:r>
    </w:p>
    <w:p w14:paraId="64D8CC71" w14:textId="77777777" w:rsidR="008838A5" w:rsidRPr="00B44393" w:rsidRDefault="008838A5" w:rsidP="008838A5">
      <w:pPr>
        <w:pStyle w:val="Descripcin"/>
        <w:jc w:val="center"/>
        <w:rPr>
          <w:rFonts w:cs="Arial"/>
          <w:color w:val="44546A"/>
          <w:lang w:val="es-CO"/>
        </w:rPr>
      </w:pPr>
      <w:r w:rsidRPr="00B44393">
        <w:rPr>
          <w:rFonts w:cs="Arial"/>
          <w:color w:val="44546A"/>
          <w:lang w:val="es-CO"/>
        </w:rPr>
        <w:t xml:space="preserve">Figura </w:t>
      </w:r>
      <w:r w:rsidRPr="00B44393">
        <w:rPr>
          <w:rFonts w:cs="Arial"/>
          <w:color w:val="44546A"/>
          <w:lang w:val="es-CO"/>
        </w:rPr>
        <w:fldChar w:fldCharType="begin"/>
      </w:r>
      <w:r w:rsidRPr="00B44393">
        <w:rPr>
          <w:rFonts w:cs="Arial"/>
          <w:color w:val="44546A"/>
          <w:lang w:val="es-CO"/>
        </w:rPr>
        <w:instrText xml:space="preserve"> SEQ Figura \* ARABIC \* MERGEFORMAT </w:instrText>
      </w:r>
      <w:r w:rsidRPr="00B44393">
        <w:rPr>
          <w:rFonts w:cs="Arial"/>
          <w:color w:val="44546A"/>
          <w:lang w:val="es-CO"/>
        </w:rPr>
        <w:fldChar w:fldCharType="separate"/>
      </w:r>
      <w:bookmarkStart w:id="17" w:name="Figura_7"/>
      <w:r>
        <w:rPr>
          <w:rFonts w:cs="Arial"/>
          <w:noProof/>
          <w:color w:val="44546A"/>
          <w:lang w:val="es-CO"/>
        </w:rPr>
        <w:t>3</w:t>
      </w:r>
      <w:bookmarkEnd w:id="17"/>
      <w:r w:rsidRPr="00B44393">
        <w:rPr>
          <w:rFonts w:cs="Arial"/>
          <w:color w:val="44546A"/>
          <w:lang w:val="es-CO"/>
        </w:rPr>
        <w:fldChar w:fldCharType="end"/>
      </w:r>
      <w:r w:rsidRPr="00B44393">
        <w:rPr>
          <w:rFonts w:cs="Arial"/>
          <w:color w:val="44546A"/>
          <w:lang w:val="es-CO"/>
        </w:rPr>
        <w:t xml:space="preserve">. Curvas ISO-GT y umbral ISO-térmica conforme a la propuesta del CNO. </w:t>
      </w:r>
    </w:p>
    <w:p w14:paraId="6C27EC15" w14:textId="77777777" w:rsidR="008838A5" w:rsidRDefault="008838A5" w:rsidP="008838A5">
      <w:pPr>
        <w:keepNext/>
        <w:jc w:val="center"/>
      </w:pPr>
      <w:r w:rsidRPr="00E47E3C">
        <w:rPr>
          <w:noProof/>
          <w:sz w:val="20"/>
        </w:rPr>
        <w:drawing>
          <wp:inline distT="0" distB="0" distL="0" distR="0" wp14:anchorId="4E68A315" wp14:editId="1F453353">
            <wp:extent cx="5972810" cy="1676400"/>
            <wp:effectExtent l="0" t="0" r="0" b="0"/>
            <wp:docPr id="23" name="Imagen 22">
              <a:extLst xmlns:a="http://schemas.openxmlformats.org/drawingml/2006/main">
                <a:ext uri="{FF2B5EF4-FFF2-40B4-BE49-F238E27FC236}">
                  <a16:creationId xmlns:a16="http://schemas.microsoft.com/office/drawing/2014/main" id="{89496017-DAD2-F6A3-F338-3CE6D20BE9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2">
                      <a:extLst>
                        <a:ext uri="{FF2B5EF4-FFF2-40B4-BE49-F238E27FC236}">
                          <a16:creationId xmlns:a16="http://schemas.microsoft.com/office/drawing/2014/main" id="{89496017-DAD2-F6A3-F338-3CE6D20BE986}"/>
                        </a:ext>
                      </a:extLst>
                    </pic:cNvPr>
                    <pic:cNvPicPr>
                      <a:picLocks noChangeAspect="1"/>
                    </pic:cNvPicPr>
                  </pic:nvPicPr>
                  <pic:blipFill>
                    <a:blip r:embed="rId12"/>
                    <a:stretch>
                      <a:fillRect/>
                    </a:stretch>
                  </pic:blipFill>
                  <pic:spPr>
                    <a:xfrm>
                      <a:off x="0" y="0"/>
                      <a:ext cx="5972810" cy="1676400"/>
                    </a:xfrm>
                    <a:prstGeom prst="rect">
                      <a:avLst/>
                    </a:prstGeom>
                  </pic:spPr>
                </pic:pic>
              </a:graphicData>
            </a:graphic>
          </wp:inline>
        </w:drawing>
      </w:r>
    </w:p>
    <w:p w14:paraId="5298CF8C" w14:textId="77777777" w:rsidR="008838A5" w:rsidRPr="00B44393" w:rsidRDefault="008838A5" w:rsidP="008838A5">
      <w:pPr>
        <w:pStyle w:val="Descripcin"/>
        <w:jc w:val="center"/>
        <w:rPr>
          <w:rFonts w:cs="Arial"/>
          <w:color w:val="44546A"/>
          <w:lang w:val="es-CO"/>
        </w:rPr>
      </w:pPr>
      <w:bookmarkStart w:id="18" w:name="Tabla_1"/>
      <w:r w:rsidRPr="00B44393">
        <w:rPr>
          <w:rFonts w:cs="Arial"/>
          <w:color w:val="44546A"/>
        </w:rPr>
        <w:t xml:space="preserve">Tabla </w:t>
      </w:r>
      <w:r w:rsidRPr="00B44393">
        <w:rPr>
          <w:rFonts w:cs="Arial"/>
          <w:color w:val="44546A"/>
        </w:rPr>
        <w:fldChar w:fldCharType="begin"/>
      </w:r>
      <w:r w:rsidRPr="00B44393">
        <w:rPr>
          <w:rFonts w:cs="Arial"/>
          <w:color w:val="44546A"/>
        </w:rPr>
        <w:instrText xml:space="preserve"> SEQ Tabla \* ARABIC </w:instrText>
      </w:r>
      <w:r w:rsidRPr="00B44393">
        <w:rPr>
          <w:rFonts w:cs="Arial"/>
          <w:color w:val="44546A"/>
        </w:rPr>
        <w:fldChar w:fldCharType="separate"/>
      </w:r>
      <w:r>
        <w:rPr>
          <w:rFonts w:cs="Arial"/>
          <w:noProof/>
          <w:color w:val="44546A"/>
        </w:rPr>
        <w:t>1</w:t>
      </w:r>
      <w:r w:rsidRPr="00B44393">
        <w:rPr>
          <w:rFonts w:cs="Arial"/>
          <w:color w:val="44546A"/>
        </w:rPr>
        <w:fldChar w:fldCharType="end"/>
      </w:r>
      <w:bookmarkEnd w:id="18"/>
      <w:r w:rsidRPr="00B44393">
        <w:rPr>
          <w:rFonts w:cs="Arial"/>
          <w:color w:val="44546A"/>
        </w:rPr>
        <w:t>. Nivel de embalse de las curvas ISO-GT – propuesto por el CNO</w:t>
      </w:r>
    </w:p>
    <w:p w14:paraId="4B5F19AE" w14:textId="77777777" w:rsidR="008838A5" w:rsidRDefault="008838A5" w:rsidP="008838A5">
      <w:pPr>
        <w:jc w:val="center"/>
        <w:rPr>
          <w:sz w:val="20"/>
          <w:lang w:val="es-CO"/>
        </w:rPr>
      </w:pPr>
      <w:r w:rsidRPr="00E47E3C">
        <w:rPr>
          <w:noProof/>
          <w:sz w:val="20"/>
        </w:rPr>
        <w:drawing>
          <wp:inline distT="0" distB="0" distL="0" distR="0" wp14:anchorId="3CCEB0B3" wp14:editId="605D89AF">
            <wp:extent cx="5972810" cy="2520000"/>
            <wp:effectExtent l="0" t="0" r="0" b="0"/>
            <wp:docPr id="20" name="Imagen 19">
              <a:extLst xmlns:a="http://schemas.openxmlformats.org/drawingml/2006/main">
                <a:ext uri="{FF2B5EF4-FFF2-40B4-BE49-F238E27FC236}">
                  <a16:creationId xmlns:a16="http://schemas.microsoft.com/office/drawing/2014/main" id="{81FDBAAC-F52E-AA15-A9D3-CA372F41A1D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n 19">
                      <a:extLst>
                        <a:ext uri="{FF2B5EF4-FFF2-40B4-BE49-F238E27FC236}">
                          <a16:creationId xmlns:a16="http://schemas.microsoft.com/office/drawing/2014/main" id="{81FDBAAC-F52E-AA15-A9D3-CA372F41A1D5}"/>
                        </a:ext>
                      </a:extLst>
                    </pic:cNvPr>
                    <pic:cNvPicPr>
                      <a:picLocks/>
                    </pic:cNvPicPr>
                  </pic:nvPicPr>
                  <pic:blipFill>
                    <a:blip r:embed="rId13"/>
                    <a:stretch>
                      <a:fillRect/>
                    </a:stretch>
                  </pic:blipFill>
                  <pic:spPr>
                    <a:xfrm>
                      <a:off x="0" y="0"/>
                      <a:ext cx="5972810" cy="2520000"/>
                    </a:xfrm>
                    <a:prstGeom prst="rect">
                      <a:avLst/>
                    </a:prstGeom>
                  </pic:spPr>
                </pic:pic>
              </a:graphicData>
            </a:graphic>
          </wp:inline>
        </w:drawing>
      </w:r>
    </w:p>
    <w:p w14:paraId="1A6910AA" w14:textId="77777777" w:rsidR="008838A5" w:rsidRPr="00B44393" w:rsidRDefault="008838A5" w:rsidP="008838A5">
      <w:pPr>
        <w:pStyle w:val="Descripcin"/>
        <w:jc w:val="center"/>
        <w:rPr>
          <w:rFonts w:cs="Arial"/>
          <w:color w:val="44546A"/>
          <w:lang w:val="es-CO"/>
        </w:rPr>
      </w:pPr>
      <w:r w:rsidRPr="00B44393">
        <w:rPr>
          <w:rFonts w:cs="Arial"/>
          <w:color w:val="44546A"/>
          <w:lang w:val="es-CO"/>
        </w:rPr>
        <w:t xml:space="preserve">Figura </w:t>
      </w:r>
      <w:r w:rsidRPr="00B44393">
        <w:rPr>
          <w:rFonts w:cs="Arial"/>
          <w:color w:val="44546A"/>
          <w:lang w:val="es-CO"/>
        </w:rPr>
        <w:fldChar w:fldCharType="begin"/>
      </w:r>
      <w:r w:rsidRPr="00B44393">
        <w:rPr>
          <w:rFonts w:cs="Arial"/>
          <w:color w:val="44546A"/>
          <w:lang w:val="es-CO"/>
        </w:rPr>
        <w:instrText xml:space="preserve"> SEQ Figura \* ARABIC \* MERGEFORMAT </w:instrText>
      </w:r>
      <w:r w:rsidRPr="00B44393">
        <w:rPr>
          <w:rFonts w:cs="Arial"/>
          <w:color w:val="44546A"/>
          <w:lang w:val="es-CO"/>
        </w:rPr>
        <w:fldChar w:fldCharType="separate"/>
      </w:r>
      <w:bookmarkStart w:id="19" w:name="Figura_8"/>
      <w:r>
        <w:rPr>
          <w:rFonts w:cs="Arial"/>
          <w:noProof/>
          <w:color w:val="44546A"/>
          <w:lang w:val="es-CO"/>
        </w:rPr>
        <w:t>4</w:t>
      </w:r>
      <w:bookmarkEnd w:id="19"/>
      <w:r w:rsidRPr="00B44393">
        <w:rPr>
          <w:rFonts w:cs="Arial"/>
          <w:color w:val="44546A"/>
          <w:lang w:val="es-CO"/>
        </w:rPr>
        <w:fldChar w:fldCharType="end"/>
      </w:r>
      <w:r w:rsidRPr="00B44393">
        <w:rPr>
          <w:rFonts w:cs="Arial"/>
          <w:color w:val="44546A"/>
          <w:lang w:val="es-CO"/>
        </w:rPr>
        <w:t xml:space="preserve">. Curvas ISO-GT y umbral ISO-térmica conforme a la propuesta del CND, con la zona sujeta a seguimiento y monitoreo y la zona de activación del Estatuto de Riesgo de Desabastecimiento. </w:t>
      </w:r>
    </w:p>
    <w:p w14:paraId="4BB1052D" w14:textId="77777777" w:rsidR="008838A5" w:rsidRDefault="008838A5" w:rsidP="008838A5">
      <w:pPr>
        <w:keepNext/>
        <w:jc w:val="center"/>
      </w:pPr>
      <w:r w:rsidRPr="00E47E3C">
        <w:rPr>
          <w:noProof/>
          <w:sz w:val="20"/>
        </w:rPr>
        <w:lastRenderedPageBreak/>
        <w:drawing>
          <wp:inline distT="0" distB="0" distL="0" distR="0" wp14:anchorId="7F77E36D" wp14:editId="355CB92B">
            <wp:extent cx="5972810" cy="2010410"/>
            <wp:effectExtent l="0" t="0" r="0" b="0"/>
            <wp:docPr id="21" name="Imagen 20">
              <a:extLst xmlns:a="http://schemas.openxmlformats.org/drawingml/2006/main">
                <a:ext uri="{FF2B5EF4-FFF2-40B4-BE49-F238E27FC236}">
                  <a16:creationId xmlns:a16="http://schemas.microsoft.com/office/drawing/2014/main" id="{453882D6-D9FD-7C43-3AEE-0CC5B6857A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a:extLst>
                        <a:ext uri="{FF2B5EF4-FFF2-40B4-BE49-F238E27FC236}">
                          <a16:creationId xmlns:a16="http://schemas.microsoft.com/office/drawing/2014/main" id="{453882D6-D9FD-7C43-3AEE-0CC5B6857A14}"/>
                        </a:ext>
                      </a:extLst>
                    </pic:cNvPr>
                    <pic:cNvPicPr>
                      <a:picLocks noChangeAspect="1"/>
                    </pic:cNvPicPr>
                  </pic:nvPicPr>
                  <pic:blipFill>
                    <a:blip r:embed="rId14"/>
                    <a:stretch>
                      <a:fillRect/>
                    </a:stretch>
                  </pic:blipFill>
                  <pic:spPr>
                    <a:xfrm>
                      <a:off x="0" y="0"/>
                      <a:ext cx="5972810" cy="2010410"/>
                    </a:xfrm>
                    <a:prstGeom prst="rect">
                      <a:avLst/>
                    </a:prstGeom>
                  </pic:spPr>
                </pic:pic>
              </a:graphicData>
            </a:graphic>
          </wp:inline>
        </w:drawing>
      </w:r>
    </w:p>
    <w:p w14:paraId="61206AC2" w14:textId="77777777" w:rsidR="008838A5" w:rsidRPr="00B44393" w:rsidRDefault="008838A5" w:rsidP="008838A5">
      <w:pPr>
        <w:pStyle w:val="Descripcin"/>
        <w:jc w:val="center"/>
        <w:rPr>
          <w:rFonts w:cs="Arial"/>
          <w:color w:val="44546A"/>
          <w:lang w:val="es-CO"/>
        </w:rPr>
      </w:pPr>
      <w:bookmarkStart w:id="20" w:name="Tabla_2"/>
      <w:r w:rsidRPr="00B44393">
        <w:rPr>
          <w:rFonts w:cs="Arial"/>
          <w:color w:val="44546A"/>
        </w:rPr>
        <w:t xml:space="preserve">Tabla </w:t>
      </w:r>
      <w:r w:rsidRPr="00B44393">
        <w:rPr>
          <w:rFonts w:cs="Arial"/>
          <w:color w:val="44546A"/>
        </w:rPr>
        <w:fldChar w:fldCharType="begin"/>
      </w:r>
      <w:r w:rsidRPr="00B44393">
        <w:rPr>
          <w:rFonts w:cs="Arial"/>
          <w:color w:val="44546A"/>
        </w:rPr>
        <w:instrText xml:space="preserve"> SEQ Tabla \* ARABIC </w:instrText>
      </w:r>
      <w:r w:rsidRPr="00B44393">
        <w:rPr>
          <w:rFonts w:cs="Arial"/>
          <w:color w:val="44546A"/>
        </w:rPr>
        <w:fldChar w:fldCharType="separate"/>
      </w:r>
      <w:r>
        <w:rPr>
          <w:rFonts w:cs="Arial"/>
          <w:noProof/>
          <w:color w:val="44546A"/>
        </w:rPr>
        <w:t>2</w:t>
      </w:r>
      <w:r w:rsidRPr="00B44393">
        <w:rPr>
          <w:rFonts w:cs="Arial"/>
          <w:color w:val="44546A"/>
        </w:rPr>
        <w:fldChar w:fldCharType="end"/>
      </w:r>
      <w:bookmarkEnd w:id="20"/>
      <w:r w:rsidRPr="00B44393">
        <w:rPr>
          <w:rFonts w:cs="Arial"/>
          <w:color w:val="44546A"/>
        </w:rPr>
        <w:t>. Nivel de embalse de las curvas ISO-GT – propuesto por el CND</w:t>
      </w:r>
    </w:p>
    <w:p w14:paraId="33AC8565" w14:textId="77777777" w:rsidR="008838A5" w:rsidRDefault="008838A5" w:rsidP="008838A5">
      <w:pPr>
        <w:spacing w:after="240"/>
        <w:jc w:val="center"/>
        <w:rPr>
          <w:sz w:val="20"/>
          <w:lang w:val="es-CO"/>
        </w:rPr>
      </w:pPr>
    </w:p>
    <w:p w14:paraId="7C864343" w14:textId="77777777" w:rsidR="008838A5" w:rsidRPr="0034138A" w:rsidRDefault="008838A5" w:rsidP="008838A5">
      <w:pPr>
        <w:pStyle w:val="Ttulo1"/>
        <w:rPr>
          <w:rFonts w:cs="Arial"/>
          <w:lang w:val="es-CO"/>
        </w:rPr>
      </w:pPr>
      <w:bookmarkStart w:id="21" w:name="_Toc239520996"/>
      <w:r w:rsidRPr="0034138A">
        <w:rPr>
          <w:rFonts w:cs="Arial"/>
          <w:lang w:val="es-CO"/>
        </w:rPr>
        <w:t>PARÁMETRO X% DE LA CURVA DE REFERENCIA DE OFERTA DE PRECIO HIDRÁULICA</w:t>
      </w:r>
      <w:bookmarkEnd w:id="21"/>
    </w:p>
    <w:p w14:paraId="45CF5DCC" w14:textId="77777777" w:rsidR="008838A5" w:rsidRDefault="008838A5" w:rsidP="008838A5">
      <w:pPr>
        <w:spacing w:after="160"/>
        <w:rPr>
          <w:sz w:val="22"/>
          <w:szCs w:val="22"/>
          <w:lang w:val="es-CO"/>
        </w:rPr>
      </w:pPr>
      <w:r>
        <w:rPr>
          <w:sz w:val="22"/>
          <w:szCs w:val="22"/>
          <w:lang w:val="es-CO"/>
        </w:rPr>
        <w:t xml:space="preserve">El literal b. del artículo 11 de la Resolución CREG 101 127 de 2026 dispone que, durante el período de riesgo de desabastecimiento, la oferta de precio de las plantas hidráulicas con regulación de embalse mayor a un día considere una curva lineal de referencia definida por tres puntos en función del nivel del volumen útil del embalse de cada planta: el primero, asociado al nivel mínimo técnico, con el </w:t>
      </w:r>
      <w:r w:rsidRPr="003E677B">
        <w:rPr>
          <w:rFonts w:cs="Arial"/>
          <w:sz w:val="22"/>
          <w:szCs w:val="22"/>
          <w:lang w:val="es-CO"/>
        </w:rPr>
        <w:t>precio de escasez superior (PES)</w:t>
      </w:r>
      <w:r>
        <w:rPr>
          <w:sz w:val="22"/>
          <w:szCs w:val="22"/>
          <w:lang w:val="es-CO"/>
        </w:rPr>
        <w:t xml:space="preserve">, multiplicado por un factor de 1,10; el segundo, asociado al porcentaje X% del volumen útil que defina la Comisión, con el PES más un centavo de peso; y el tercero, asociado al </w:t>
      </w:r>
      <w:r w:rsidRPr="003E677B">
        <w:rPr>
          <w:rFonts w:cs="Arial"/>
          <w:sz w:val="22"/>
          <w:szCs w:val="22"/>
          <w:lang w:val="es-CO"/>
        </w:rPr>
        <w:t>nivel de probabilidad de vertimiento (NPV), con los otros costos variables (OCV)</w:t>
      </w:r>
      <w:r>
        <w:rPr>
          <w:sz w:val="22"/>
          <w:szCs w:val="22"/>
          <w:lang w:val="es-CO"/>
        </w:rPr>
        <w:t xml:space="preserve"> definidos en la Resolución CREG 034 de 2001.</w:t>
      </w:r>
    </w:p>
    <w:p w14:paraId="3F4E29B6" w14:textId="77777777" w:rsidR="008838A5" w:rsidRDefault="008838A5" w:rsidP="008838A5">
      <w:pPr>
        <w:spacing w:after="160"/>
        <w:rPr>
          <w:sz w:val="22"/>
          <w:szCs w:val="22"/>
          <w:lang w:val="es-CO"/>
        </w:rPr>
      </w:pPr>
      <w:r>
        <w:rPr>
          <w:b/>
          <w:sz w:val="22"/>
          <w:szCs w:val="22"/>
          <w:lang w:val="es-CO"/>
        </w:rPr>
        <w:t>Determinación: no se acoge la propuesta del CND.</w:t>
      </w:r>
      <w:r>
        <w:rPr>
          <w:sz w:val="22"/>
          <w:szCs w:val="22"/>
          <w:lang w:val="es-CO"/>
        </w:rPr>
        <w:t xml:space="preserve"> El parámetro X% se </w:t>
      </w:r>
      <w:r w:rsidRPr="00E36A1C">
        <w:rPr>
          <w:rFonts w:cs="Arial"/>
          <w:sz w:val="22"/>
          <w:szCs w:val="22"/>
          <w:lang w:val="es-CO"/>
        </w:rPr>
        <w:t>fija en el valor del NEP de cada planta</w:t>
      </w:r>
      <w:r>
        <w:rPr>
          <w:sz w:val="22"/>
          <w:szCs w:val="22"/>
          <w:lang w:val="es-CO"/>
        </w:rPr>
        <w:t>.</w:t>
      </w:r>
    </w:p>
    <w:p w14:paraId="34A2F359" w14:textId="77777777" w:rsidR="008838A5" w:rsidRDefault="008838A5" w:rsidP="008838A5">
      <w:pPr>
        <w:spacing w:after="160"/>
        <w:rPr>
          <w:sz w:val="22"/>
          <w:szCs w:val="22"/>
          <w:lang w:val="es-CO"/>
        </w:rPr>
      </w:pPr>
      <w:r>
        <w:rPr>
          <w:sz w:val="22"/>
          <w:szCs w:val="22"/>
          <w:lang w:val="es-CO"/>
        </w:rPr>
        <w:t>La determinación del X% en el NEP de cada planta obedece a un doble criterio. De una parte, reconoce la heterogeneidad de los embalses del sistema: el NEP es un nivel propio de cada planta, verificable y disponible, de modo que la referencia se ajusta a la situación real de cada recurso. De otra parte, y de manera determinante, la ubicación del segundo punto en el NEP produce la señal de precio de menor impacto sobre la sostenibilidad financiera del MEM entre las alternativas evaluadas, según se demuestra en el análisis de impacto del numeral 4.1.</w:t>
      </w:r>
    </w:p>
    <w:p w14:paraId="6A5E7B11" w14:textId="77777777" w:rsidR="008838A5" w:rsidRPr="0034138A" w:rsidRDefault="008838A5" w:rsidP="008838A5">
      <w:pPr>
        <w:pStyle w:val="Ttulo2"/>
        <w:rPr>
          <w:rFonts w:cs="Arial"/>
          <w:sz w:val="22"/>
          <w:lang w:val="es-CO"/>
        </w:rPr>
      </w:pPr>
      <w:bookmarkStart w:id="22" w:name="_Toc239514406"/>
      <w:bookmarkStart w:id="23" w:name="_Toc239520997"/>
      <w:bookmarkEnd w:id="22"/>
      <w:r w:rsidRPr="0034138A">
        <w:rPr>
          <w:rFonts w:cs="Arial"/>
          <w:sz w:val="22"/>
          <w:lang w:val="es-CO"/>
        </w:rPr>
        <w:t>Impacto</w:t>
      </w:r>
      <w:bookmarkEnd w:id="23"/>
    </w:p>
    <w:p w14:paraId="45A41DEE" w14:textId="77777777" w:rsidR="008838A5" w:rsidRDefault="008838A5" w:rsidP="008838A5">
      <w:pPr>
        <w:spacing w:after="160"/>
        <w:rPr>
          <w:sz w:val="22"/>
          <w:szCs w:val="22"/>
          <w:lang w:val="es-CO"/>
        </w:rPr>
      </w:pPr>
      <w:r>
        <w:rPr>
          <w:sz w:val="22"/>
          <w:szCs w:val="22"/>
          <w:lang w:val="es-CO"/>
        </w:rPr>
        <w:t>El parámetro X% determina el nivel de embalse a partir del cual la oferta de precio de una planta hidráulica con regulación alcanza el entorno del Precio de Escasez Superior. Sus efectos son los siguientes:</w:t>
      </w:r>
    </w:p>
    <w:p w14:paraId="441D1CBC" w14:textId="77777777" w:rsidR="008838A5" w:rsidRDefault="008838A5" w:rsidP="008838A5">
      <w:pPr>
        <w:pStyle w:val="Prrafodelista"/>
        <w:numPr>
          <w:ilvl w:val="0"/>
          <w:numId w:val="7"/>
        </w:numPr>
        <w:spacing w:after="120"/>
        <w:ind w:left="709" w:hanging="357"/>
        <w:rPr>
          <w:sz w:val="22"/>
          <w:szCs w:val="22"/>
          <w:lang w:val="es-CO"/>
        </w:rPr>
      </w:pPr>
      <w:r>
        <w:rPr>
          <w:b/>
          <w:sz w:val="22"/>
          <w:szCs w:val="22"/>
          <w:lang w:val="es-CO"/>
        </w:rPr>
        <w:t>Sobre la formación del precio.</w:t>
      </w:r>
      <w:r>
        <w:rPr>
          <w:sz w:val="22"/>
          <w:szCs w:val="22"/>
          <w:lang w:val="es-CO"/>
        </w:rPr>
        <w:t xml:space="preserve"> Un X% más próximo al NPV hace que la oferta alcance el entorno del PES con niveles de embalse comparativamente altos, lo que eleva el precio de bolsa y anticipa la señal de escasez; un X% más bajo produce el efecto contrario y concentra el ascenso del precio en los niveles bajos del embalse, como se observa en la Figura </w:t>
      </w:r>
      <w:r w:rsidRPr="00200331">
        <w:rPr>
          <w:rFonts w:cs="Arial"/>
          <w:sz w:val="22"/>
          <w:szCs w:val="22"/>
          <w:lang w:val="es-CO"/>
        </w:rPr>
        <w:t>5</w:t>
      </w:r>
      <w:r>
        <w:rPr>
          <w:sz w:val="22"/>
          <w:szCs w:val="22"/>
          <w:lang w:val="es-CO"/>
        </w:rPr>
        <w:t>.</w:t>
      </w:r>
    </w:p>
    <w:p w14:paraId="2BE43A01" w14:textId="77777777" w:rsidR="008838A5" w:rsidRDefault="008838A5" w:rsidP="008838A5">
      <w:pPr>
        <w:pStyle w:val="Prrafodelista"/>
        <w:numPr>
          <w:ilvl w:val="0"/>
          <w:numId w:val="7"/>
        </w:numPr>
        <w:spacing w:after="120"/>
        <w:ind w:left="709" w:hanging="357"/>
        <w:rPr>
          <w:sz w:val="22"/>
          <w:szCs w:val="22"/>
          <w:lang w:val="es-CO"/>
        </w:rPr>
      </w:pPr>
      <w:r>
        <w:rPr>
          <w:b/>
          <w:sz w:val="22"/>
          <w:szCs w:val="22"/>
          <w:lang w:val="es-CO"/>
        </w:rPr>
        <w:lastRenderedPageBreak/>
        <w:t>Sobre el despacho y la conservación del recurso.</w:t>
      </w:r>
      <w:r>
        <w:rPr>
          <w:sz w:val="22"/>
          <w:szCs w:val="22"/>
          <w:lang w:val="es-CO"/>
        </w:rPr>
        <w:t xml:space="preserve"> Ofertas hidráulicas crecientes a medida que desciende el nivel del embalse desplazan el despacho hacia la generación térmica y favorecen la recuperación del almacenamiento. Este efecto es complementario del despacho de un valor mínimo de generación térmica previsto en el artículo 10 y no lo sustituye: el primero opera por la vía del precio y el segundo por la vía de restricciones.</w:t>
      </w:r>
    </w:p>
    <w:p w14:paraId="6D920CCE" w14:textId="77777777" w:rsidR="008838A5" w:rsidRDefault="008838A5" w:rsidP="008838A5">
      <w:pPr>
        <w:pStyle w:val="Prrafodelista"/>
        <w:numPr>
          <w:ilvl w:val="0"/>
          <w:numId w:val="7"/>
        </w:numPr>
        <w:spacing w:after="120"/>
        <w:ind w:left="709" w:hanging="357"/>
        <w:rPr>
          <w:sz w:val="22"/>
          <w:szCs w:val="22"/>
          <w:lang w:val="es-CO"/>
        </w:rPr>
      </w:pPr>
      <w:r>
        <w:rPr>
          <w:b/>
          <w:sz w:val="22"/>
          <w:szCs w:val="22"/>
          <w:lang w:val="es-CO"/>
        </w:rPr>
        <w:t>Sobre la previsibilidad del mercado.</w:t>
      </w:r>
      <w:r>
        <w:rPr>
          <w:sz w:val="22"/>
          <w:szCs w:val="22"/>
          <w:lang w:val="es-CO"/>
        </w:rPr>
        <w:t xml:space="preserve"> Al sujetarse la oferta a una curva de referencia común, la dispersión entre las ofertas de plantas en situación comparable se reduce y la formación del precio de bolsa se hace previsible a partir de una variable observable, el nivel de los embalses.</w:t>
      </w:r>
    </w:p>
    <w:p w14:paraId="17022FE0" w14:textId="77777777" w:rsidR="008838A5" w:rsidRDefault="008838A5" w:rsidP="008838A5">
      <w:pPr>
        <w:pStyle w:val="Prrafodelista"/>
        <w:numPr>
          <w:ilvl w:val="0"/>
          <w:numId w:val="7"/>
        </w:numPr>
        <w:spacing w:after="120"/>
        <w:ind w:left="709" w:hanging="357"/>
        <w:rPr>
          <w:sz w:val="22"/>
          <w:szCs w:val="22"/>
          <w:lang w:val="es-CO"/>
        </w:rPr>
      </w:pPr>
      <w:r>
        <w:rPr>
          <w:b/>
          <w:sz w:val="22"/>
          <w:szCs w:val="22"/>
          <w:lang w:val="es-CO"/>
        </w:rPr>
        <w:t>Sobre las liquidaciones.</w:t>
      </w:r>
      <w:r>
        <w:rPr>
          <w:sz w:val="22"/>
          <w:szCs w:val="22"/>
          <w:lang w:val="es-CO"/>
        </w:rPr>
        <w:t xml:space="preserve"> El nivel del precio de bolsa incide en la exposición de la demanda no contratada, en la activación de las Obligaciones de Energía en Firme cuando aquel supere el precio de escasez aplicable y en las reconciliaciones positivas que se causen conforme al parágrafo del artículo 10 y a la Resolución CREG 034 de 2001. Un precio de bolsa elevado y sostenido durante una activación prolongada del mecanismo tensiona el flujo de caja de los comercializadores con alta exposición en bolsa y puede traducirse en desviaciones negativas frente a las OEF, con el consiguiente riesgo de incumplimiento de un agente.</w:t>
      </w:r>
    </w:p>
    <w:p w14:paraId="49F37393" w14:textId="77777777" w:rsidR="008838A5" w:rsidRDefault="008838A5" w:rsidP="008838A5">
      <w:pPr>
        <w:spacing w:after="160"/>
        <w:rPr>
          <w:sz w:val="22"/>
          <w:szCs w:val="22"/>
          <w:lang w:val="es-CO"/>
        </w:rPr>
      </w:pPr>
    </w:p>
    <w:p w14:paraId="1BA5A805" w14:textId="77777777" w:rsidR="008838A5" w:rsidRDefault="008838A5" w:rsidP="008838A5">
      <w:pPr>
        <w:jc w:val="center"/>
        <w:rPr>
          <w:rFonts w:cs="Arial"/>
          <w:sz w:val="22"/>
          <w:szCs w:val="22"/>
          <w:lang w:val="es-CO"/>
        </w:rPr>
      </w:pPr>
      <w:r>
        <w:rPr>
          <w:noProof/>
        </w:rPr>
        <w:drawing>
          <wp:inline distT="0" distB="0" distL="0" distR="0" wp14:anchorId="4138881A" wp14:editId="30CA3359">
            <wp:extent cx="5032375" cy="2519680"/>
            <wp:effectExtent l="0" t="0" r="0" b="0"/>
            <wp:docPr id="6251598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59816" name=""/>
                    <pic:cNvPicPr/>
                  </pic:nvPicPr>
                  <pic:blipFill>
                    <a:blip r:embed="rId15"/>
                    <a:stretch>
                      <a:fillRect/>
                    </a:stretch>
                  </pic:blipFill>
                  <pic:spPr>
                    <a:xfrm>
                      <a:off x="0" y="0"/>
                      <a:ext cx="5032375" cy="2519680"/>
                    </a:xfrm>
                    <a:prstGeom prst="rect">
                      <a:avLst/>
                    </a:prstGeom>
                  </pic:spPr>
                </pic:pic>
              </a:graphicData>
            </a:graphic>
          </wp:inline>
        </w:drawing>
      </w:r>
    </w:p>
    <w:p w14:paraId="3D2B8495" w14:textId="77777777" w:rsidR="008838A5" w:rsidRPr="00B44393" w:rsidRDefault="008838A5" w:rsidP="008838A5">
      <w:pPr>
        <w:pStyle w:val="Descripcin"/>
        <w:jc w:val="center"/>
        <w:rPr>
          <w:rFonts w:cs="Arial"/>
          <w:color w:val="44546A"/>
          <w:lang w:val="es-CO"/>
        </w:rPr>
      </w:pPr>
      <w:r w:rsidRPr="00B44393">
        <w:rPr>
          <w:rFonts w:cs="Arial"/>
          <w:color w:val="44546A"/>
          <w:lang w:val="es-CO"/>
        </w:rPr>
        <w:t xml:space="preserve">Figura </w:t>
      </w:r>
      <w:r w:rsidRPr="00B44393">
        <w:rPr>
          <w:rFonts w:cs="Arial"/>
          <w:color w:val="44546A"/>
          <w:lang w:val="es-CO"/>
        </w:rPr>
        <w:fldChar w:fldCharType="begin"/>
      </w:r>
      <w:r w:rsidRPr="00B44393">
        <w:rPr>
          <w:rFonts w:cs="Arial"/>
          <w:color w:val="44546A"/>
          <w:lang w:val="es-CO"/>
        </w:rPr>
        <w:instrText xml:space="preserve"> SEQ Figura \* ARABIC \* MERGEFORMAT </w:instrText>
      </w:r>
      <w:r w:rsidRPr="00B44393">
        <w:rPr>
          <w:rFonts w:cs="Arial"/>
          <w:color w:val="44546A"/>
          <w:lang w:val="es-CO"/>
        </w:rPr>
        <w:fldChar w:fldCharType="separate"/>
      </w:r>
      <w:r>
        <w:rPr>
          <w:rFonts w:cs="Arial"/>
          <w:noProof/>
          <w:color w:val="44546A"/>
          <w:lang w:val="es-CO"/>
        </w:rPr>
        <w:t>5</w:t>
      </w:r>
      <w:r w:rsidRPr="00B44393">
        <w:rPr>
          <w:rFonts w:cs="Arial"/>
          <w:color w:val="44546A"/>
          <w:lang w:val="es-CO"/>
        </w:rPr>
        <w:fldChar w:fldCharType="end"/>
      </w:r>
      <w:r w:rsidRPr="00B44393">
        <w:rPr>
          <w:rFonts w:cs="Arial"/>
          <w:color w:val="44546A"/>
          <w:lang w:val="es-CO"/>
        </w:rPr>
        <w:t xml:space="preserve">. Curva de referencia de oferta de precio de las plantas hidráulicas con regulación de embalse mayor a un día: sensibilidad de la ubicación del segundo punto con X% igual al NEP de septiembre, al cincuenta por ciento del NPV y al cincuenta por ciento del volumen útil. </w:t>
      </w:r>
    </w:p>
    <w:p w14:paraId="498A2DE2" w14:textId="77777777" w:rsidR="008838A5" w:rsidRDefault="008838A5" w:rsidP="008838A5">
      <w:pPr>
        <w:rPr>
          <w:rFonts w:cs="Arial"/>
          <w:color w:val="000000"/>
          <w:sz w:val="22"/>
        </w:rPr>
      </w:pPr>
      <w:r w:rsidRPr="006C1996">
        <w:rPr>
          <w:rFonts w:cs="Arial"/>
          <w:b/>
          <w:color w:val="000000"/>
          <w:sz w:val="22"/>
        </w:rPr>
        <w:t xml:space="preserve">Nota metodológica. </w:t>
      </w:r>
      <w:r w:rsidRPr="006C1996">
        <w:rPr>
          <w:rFonts w:cs="Arial"/>
          <w:color w:val="000000"/>
          <w:sz w:val="22"/>
        </w:rPr>
        <w:t xml:space="preserve">Los precios de bolsa que se presentan en la Tabla </w:t>
      </w:r>
      <w:r w:rsidRPr="00200331">
        <w:rPr>
          <w:rFonts w:cs="Arial"/>
          <w:color w:val="000000"/>
          <w:sz w:val="22"/>
        </w:rPr>
        <w:t>3</w:t>
      </w:r>
      <w:r w:rsidRPr="006C1996">
        <w:rPr>
          <w:rFonts w:cs="Arial"/>
          <w:color w:val="000000"/>
          <w:sz w:val="22"/>
        </w:rPr>
        <w:t xml:space="preserve"> provienen de un ejercicio de simulación en el que las ofertas de precio disponibles se ordenan de menor a mayor precio hasta cubrir la demanda </w:t>
      </w:r>
      <w:r>
        <w:rPr>
          <w:rFonts w:cs="Arial"/>
          <w:color w:val="000000"/>
          <w:sz w:val="22"/>
        </w:rPr>
        <w:t xml:space="preserve">horaria </w:t>
      </w:r>
      <w:r w:rsidRPr="006C1996">
        <w:rPr>
          <w:rFonts w:cs="Arial"/>
          <w:color w:val="000000"/>
          <w:sz w:val="22"/>
        </w:rPr>
        <w:t xml:space="preserve">máxima del día. El ejercicio no considera las restricciones técnicas de las plantas de generación, de modo que el precio resultante corresponde al del despacho ideal </w:t>
      </w:r>
      <w:r>
        <w:rPr>
          <w:rFonts w:cs="Arial"/>
          <w:color w:val="000000"/>
          <w:sz w:val="22"/>
        </w:rPr>
        <w:t xml:space="preserve">(con un alto relajamiento de restricciones) </w:t>
      </w:r>
      <w:r w:rsidRPr="006C1996">
        <w:rPr>
          <w:rFonts w:cs="Arial"/>
          <w:color w:val="000000"/>
          <w:sz w:val="22"/>
        </w:rPr>
        <w:t>en cada alternativa de X%.</w:t>
      </w:r>
    </w:p>
    <w:p w14:paraId="550F0434" w14:textId="77777777" w:rsidR="008838A5" w:rsidRPr="006C1996" w:rsidRDefault="008838A5" w:rsidP="008838A5">
      <w:pPr>
        <w:rPr>
          <w:rFonts w:cs="Arial"/>
          <w:color w:val="000000"/>
          <w:sz w:val="22"/>
        </w:rPr>
      </w:pPr>
    </w:p>
    <w:p w14:paraId="3C211535" w14:textId="77777777" w:rsidR="008838A5" w:rsidRDefault="008838A5" w:rsidP="008838A5">
      <w:pPr>
        <w:pStyle w:val="Prrafodelista"/>
        <w:ind w:left="709"/>
        <w:jc w:val="center"/>
        <w:rPr>
          <w:sz w:val="22"/>
          <w:szCs w:val="22"/>
          <w:lang w:val="es-CO"/>
        </w:rPr>
      </w:pPr>
      <w:r w:rsidRPr="00494997">
        <w:rPr>
          <w:noProof/>
          <w:sz w:val="22"/>
          <w:szCs w:val="22"/>
          <w:lang w:val="es-CO"/>
        </w:rPr>
        <w:lastRenderedPageBreak/>
        <w:drawing>
          <wp:inline distT="0" distB="0" distL="0" distR="0" wp14:anchorId="5820B85E" wp14:editId="7A4DE295">
            <wp:extent cx="2629576" cy="2520000"/>
            <wp:effectExtent l="0" t="0" r="0" b="0"/>
            <wp:docPr id="12713617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361701" name=""/>
                    <pic:cNvPicPr/>
                  </pic:nvPicPr>
                  <pic:blipFill>
                    <a:blip r:embed="rId16"/>
                    <a:stretch>
                      <a:fillRect/>
                    </a:stretch>
                  </pic:blipFill>
                  <pic:spPr>
                    <a:xfrm>
                      <a:off x="0" y="0"/>
                      <a:ext cx="2629576" cy="2520000"/>
                    </a:xfrm>
                    <a:prstGeom prst="rect">
                      <a:avLst/>
                    </a:prstGeom>
                  </pic:spPr>
                </pic:pic>
              </a:graphicData>
            </a:graphic>
          </wp:inline>
        </w:drawing>
      </w:r>
    </w:p>
    <w:p w14:paraId="5C3775AF" w14:textId="77777777" w:rsidR="008838A5" w:rsidRPr="00B44393" w:rsidRDefault="008838A5" w:rsidP="008838A5">
      <w:pPr>
        <w:pStyle w:val="Descripcin"/>
        <w:jc w:val="center"/>
        <w:rPr>
          <w:rFonts w:cs="Arial"/>
          <w:color w:val="44546A"/>
          <w:lang w:val="es-CO"/>
        </w:rPr>
      </w:pPr>
      <w:r w:rsidRPr="00B44393">
        <w:rPr>
          <w:rFonts w:cs="Arial"/>
          <w:color w:val="44546A"/>
          <w:lang w:val="es-CO"/>
        </w:rPr>
        <w:t xml:space="preserve">Tabla </w:t>
      </w:r>
      <w:r w:rsidRPr="00B44393">
        <w:rPr>
          <w:rFonts w:cs="Arial"/>
          <w:color w:val="44546A"/>
          <w:lang w:val="es-CO"/>
        </w:rPr>
        <w:fldChar w:fldCharType="begin"/>
      </w:r>
      <w:r w:rsidRPr="00B44393">
        <w:rPr>
          <w:rFonts w:cs="Arial"/>
          <w:color w:val="44546A"/>
          <w:lang w:val="es-CO"/>
        </w:rPr>
        <w:instrText xml:space="preserve"> SEQ Tabla \* ARABIC \* MERGEFORMAT </w:instrText>
      </w:r>
      <w:r w:rsidRPr="00B44393">
        <w:rPr>
          <w:rFonts w:cs="Arial"/>
          <w:color w:val="44546A"/>
          <w:lang w:val="es-CO"/>
        </w:rPr>
        <w:fldChar w:fldCharType="separate"/>
      </w:r>
      <w:r>
        <w:rPr>
          <w:rFonts w:cs="Arial"/>
          <w:noProof/>
          <w:color w:val="44546A"/>
          <w:lang w:val="es-CO"/>
        </w:rPr>
        <w:t>3</w:t>
      </w:r>
      <w:r w:rsidRPr="00B44393">
        <w:rPr>
          <w:rFonts w:cs="Arial"/>
          <w:color w:val="44546A"/>
          <w:lang w:val="es-CO"/>
        </w:rPr>
        <w:fldChar w:fldCharType="end"/>
      </w:r>
      <w:r w:rsidRPr="00B44393">
        <w:rPr>
          <w:rFonts w:cs="Arial"/>
          <w:color w:val="44546A"/>
          <w:lang w:val="es-CO"/>
        </w:rPr>
        <w:t>. Despacho ideal por tecnología, planta marginal y precio marginal bajo las tres alternativas de X%, para la demanda observada del 29 de agosto de 2026 en la hora 19.</w:t>
      </w:r>
    </w:p>
    <w:p w14:paraId="56AA95D6" w14:textId="77777777" w:rsidR="008838A5" w:rsidRPr="006C1996" w:rsidRDefault="008838A5" w:rsidP="008838A5">
      <w:pPr>
        <w:rPr>
          <w:rFonts w:cs="Arial"/>
          <w:color w:val="000000"/>
          <w:sz w:val="22"/>
        </w:rPr>
      </w:pPr>
    </w:p>
    <w:p w14:paraId="694315B8" w14:textId="77777777" w:rsidR="008838A5" w:rsidRDefault="008838A5" w:rsidP="008838A5">
      <w:pPr>
        <w:keepNext/>
        <w:jc w:val="center"/>
      </w:pPr>
      <w:r w:rsidRPr="00494997">
        <w:rPr>
          <w:noProof/>
          <w:sz w:val="20"/>
          <w:lang w:val="es-CO"/>
        </w:rPr>
        <w:drawing>
          <wp:inline distT="0" distB="0" distL="0" distR="0" wp14:anchorId="18FA78AD" wp14:editId="5BF432C7">
            <wp:extent cx="4116552" cy="2520000"/>
            <wp:effectExtent l="0" t="0" r="0" b="0"/>
            <wp:docPr id="19077245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24520" name=""/>
                    <pic:cNvPicPr/>
                  </pic:nvPicPr>
                  <pic:blipFill>
                    <a:blip r:embed="rId17"/>
                    <a:stretch>
                      <a:fillRect/>
                    </a:stretch>
                  </pic:blipFill>
                  <pic:spPr>
                    <a:xfrm>
                      <a:off x="0" y="0"/>
                      <a:ext cx="4116552" cy="2520000"/>
                    </a:xfrm>
                    <a:prstGeom prst="rect">
                      <a:avLst/>
                    </a:prstGeom>
                  </pic:spPr>
                </pic:pic>
              </a:graphicData>
            </a:graphic>
          </wp:inline>
        </w:drawing>
      </w:r>
    </w:p>
    <w:p w14:paraId="4DA53206" w14:textId="77777777" w:rsidR="008838A5" w:rsidRPr="00B44393" w:rsidRDefault="008838A5" w:rsidP="008838A5">
      <w:pPr>
        <w:pStyle w:val="Descripcin"/>
        <w:jc w:val="center"/>
        <w:rPr>
          <w:rFonts w:cs="Arial"/>
          <w:color w:val="44546A"/>
        </w:rPr>
      </w:pPr>
      <w:r w:rsidRPr="00B44393">
        <w:rPr>
          <w:rFonts w:cs="Arial"/>
          <w:color w:val="44546A"/>
        </w:rPr>
        <w:t xml:space="preserve">Tabla </w:t>
      </w:r>
      <w:r w:rsidRPr="00B44393">
        <w:rPr>
          <w:rFonts w:cs="Arial"/>
          <w:color w:val="44546A"/>
        </w:rPr>
        <w:fldChar w:fldCharType="begin"/>
      </w:r>
      <w:r w:rsidRPr="00B44393">
        <w:rPr>
          <w:rFonts w:cs="Arial"/>
          <w:color w:val="44546A"/>
        </w:rPr>
        <w:instrText xml:space="preserve"> SEQ Tabla \* ARABIC </w:instrText>
      </w:r>
      <w:r w:rsidRPr="00B44393">
        <w:rPr>
          <w:rFonts w:cs="Arial"/>
          <w:color w:val="44546A"/>
        </w:rPr>
        <w:fldChar w:fldCharType="separate"/>
      </w:r>
      <w:r>
        <w:rPr>
          <w:rFonts w:cs="Arial"/>
          <w:noProof/>
          <w:color w:val="44546A"/>
        </w:rPr>
        <w:t>4</w:t>
      </w:r>
      <w:r w:rsidRPr="00B44393">
        <w:rPr>
          <w:rFonts w:cs="Arial"/>
          <w:color w:val="44546A"/>
        </w:rPr>
        <w:fldChar w:fldCharType="end"/>
      </w:r>
      <w:r w:rsidRPr="00B44393">
        <w:rPr>
          <w:rFonts w:cs="Arial"/>
          <w:color w:val="44546A"/>
        </w:rPr>
        <w:t>. Despacho ideal de hidráulica y térmica</w:t>
      </w:r>
    </w:p>
    <w:p w14:paraId="557CE586" w14:textId="77777777" w:rsidR="008838A5" w:rsidRDefault="008838A5" w:rsidP="008838A5">
      <w:pPr>
        <w:rPr>
          <w:rFonts w:cs="Arial"/>
          <w:color w:val="000000"/>
          <w:sz w:val="22"/>
        </w:rPr>
      </w:pPr>
      <w:r w:rsidRPr="006C1996">
        <w:rPr>
          <w:rFonts w:cs="Arial"/>
          <w:b/>
          <w:color w:val="000000"/>
          <w:sz w:val="22"/>
        </w:rPr>
        <w:t xml:space="preserve">Nota metodológica del impacto en restricciones. </w:t>
      </w:r>
      <w:r w:rsidRPr="006C1996">
        <w:rPr>
          <w:rFonts w:cs="Arial"/>
          <w:color w:val="000000"/>
          <w:sz w:val="22"/>
        </w:rPr>
        <w:t>A partir de los precios de bolsa así definidos, se realiza un ordenamiento de las ofertas de menor a mayor precio hasta cumplir una demanda de 250 GWh/día y se identifica cuánta generación térmica queda en mérito —hasta el precio de bolsa ya determinado— y cuánta queda fuera de mérito. La generación térmica fuera de mérito define la energía de las reconciliaciones negativas. Se asume que los demás recursos en mérito, distintos de las plantas térmicas, completan la demanda de 250 GWh/día.</w:t>
      </w:r>
    </w:p>
    <w:p w14:paraId="337E1B40" w14:textId="77777777" w:rsidR="008838A5" w:rsidRDefault="008838A5" w:rsidP="008838A5">
      <w:pPr>
        <w:rPr>
          <w:lang w:val="es-CO"/>
        </w:rPr>
      </w:pPr>
    </w:p>
    <w:p w14:paraId="07E82A5D" w14:textId="77777777" w:rsidR="008838A5" w:rsidRDefault="008838A5" w:rsidP="008838A5">
      <w:pPr>
        <w:keepNext/>
        <w:jc w:val="center"/>
      </w:pPr>
      <w:r w:rsidRPr="00DD44B8">
        <w:rPr>
          <w:noProof/>
          <w:lang w:val="es-CO"/>
        </w:rPr>
        <w:lastRenderedPageBreak/>
        <w:drawing>
          <wp:inline distT="0" distB="0" distL="0" distR="0" wp14:anchorId="424CE365" wp14:editId="1ABC7123">
            <wp:extent cx="5112835" cy="2520000"/>
            <wp:effectExtent l="0" t="0" r="5715" b="0"/>
            <wp:docPr id="12736538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53862" name=""/>
                    <pic:cNvPicPr/>
                  </pic:nvPicPr>
                  <pic:blipFill>
                    <a:blip r:embed="rId18"/>
                    <a:stretch>
                      <a:fillRect/>
                    </a:stretch>
                  </pic:blipFill>
                  <pic:spPr>
                    <a:xfrm>
                      <a:off x="0" y="0"/>
                      <a:ext cx="5112835" cy="2520000"/>
                    </a:xfrm>
                    <a:prstGeom prst="rect">
                      <a:avLst/>
                    </a:prstGeom>
                  </pic:spPr>
                </pic:pic>
              </a:graphicData>
            </a:graphic>
          </wp:inline>
        </w:drawing>
      </w:r>
    </w:p>
    <w:p w14:paraId="70ADE987" w14:textId="77777777" w:rsidR="008838A5" w:rsidRPr="00B44393" w:rsidRDefault="008838A5" w:rsidP="008838A5">
      <w:pPr>
        <w:pStyle w:val="Descripcin"/>
        <w:jc w:val="center"/>
        <w:rPr>
          <w:rFonts w:cs="Arial"/>
          <w:color w:val="44546A"/>
          <w:lang w:val="es-CO"/>
        </w:rPr>
      </w:pPr>
      <w:r w:rsidRPr="00B44393">
        <w:rPr>
          <w:rFonts w:cs="Arial"/>
          <w:color w:val="44546A"/>
        </w:rPr>
        <w:t xml:space="preserve">Figura </w:t>
      </w:r>
      <w:r w:rsidRPr="00B44393">
        <w:rPr>
          <w:rFonts w:cs="Arial"/>
          <w:color w:val="44546A"/>
        </w:rPr>
        <w:fldChar w:fldCharType="begin"/>
      </w:r>
      <w:r w:rsidRPr="00B44393">
        <w:rPr>
          <w:rFonts w:cs="Arial"/>
          <w:color w:val="44546A"/>
        </w:rPr>
        <w:instrText xml:space="preserve"> SEQ Figura \* ARABIC </w:instrText>
      </w:r>
      <w:r w:rsidRPr="00B44393">
        <w:rPr>
          <w:rFonts w:cs="Arial"/>
          <w:color w:val="44546A"/>
        </w:rPr>
        <w:fldChar w:fldCharType="separate"/>
      </w:r>
      <w:r>
        <w:rPr>
          <w:rFonts w:cs="Arial"/>
          <w:noProof/>
          <w:color w:val="44546A"/>
        </w:rPr>
        <w:t>6</w:t>
      </w:r>
      <w:r w:rsidRPr="00B44393">
        <w:rPr>
          <w:rFonts w:cs="Arial"/>
          <w:color w:val="44546A"/>
        </w:rPr>
        <w:fldChar w:fldCharType="end"/>
      </w:r>
      <w:r w:rsidRPr="00B44393">
        <w:rPr>
          <w:rFonts w:cs="Arial"/>
          <w:color w:val="44546A"/>
        </w:rPr>
        <w:t>. Costo de restricciones por escenario Pb y GT</w:t>
      </w:r>
    </w:p>
    <w:p w14:paraId="5AE4E5A4" w14:textId="77777777" w:rsidR="008838A5" w:rsidRDefault="008838A5" w:rsidP="008838A5">
      <w:pPr>
        <w:spacing w:after="240"/>
        <w:jc w:val="center"/>
        <w:rPr>
          <w:sz w:val="20"/>
          <w:lang w:val="es-CO"/>
        </w:rPr>
      </w:pPr>
    </w:p>
    <w:p w14:paraId="1A4A9953" w14:textId="77777777" w:rsidR="008838A5" w:rsidRDefault="008838A5" w:rsidP="008838A5">
      <w:pPr>
        <w:jc w:val="center"/>
        <w:rPr>
          <w:sz w:val="20"/>
          <w:lang w:val="es-CO"/>
        </w:rPr>
      </w:pPr>
      <w:r w:rsidRPr="00494997">
        <w:rPr>
          <w:noProof/>
          <w:sz w:val="20"/>
          <w:lang w:val="es-CO"/>
        </w:rPr>
        <w:drawing>
          <wp:inline distT="0" distB="0" distL="0" distR="0" wp14:anchorId="4A4CFE37" wp14:editId="06C16E28">
            <wp:extent cx="5921154" cy="1260000"/>
            <wp:effectExtent l="0" t="0" r="0" b="0"/>
            <wp:docPr id="482189597"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2189597" name=""/>
                    <pic:cNvPicPr/>
                  </pic:nvPicPr>
                  <pic:blipFill>
                    <a:blip r:embed="rId19"/>
                    <a:stretch>
                      <a:fillRect/>
                    </a:stretch>
                  </pic:blipFill>
                  <pic:spPr>
                    <a:xfrm>
                      <a:off x="0" y="0"/>
                      <a:ext cx="5921154" cy="1260000"/>
                    </a:xfrm>
                    <a:prstGeom prst="rect">
                      <a:avLst/>
                    </a:prstGeom>
                  </pic:spPr>
                </pic:pic>
              </a:graphicData>
            </a:graphic>
          </wp:inline>
        </w:drawing>
      </w:r>
    </w:p>
    <w:p w14:paraId="3AE8C956" w14:textId="77777777" w:rsidR="008838A5" w:rsidRPr="00B44393" w:rsidRDefault="008838A5" w:rsidP="008838A5">
      <w:pPr>
        <w:pStyle w:val="Descripcin"/>
        <w:jc w:val="center"/>
        <w:rPr>
          <w:rFonts w:cs="Arial"/>
          <w:color w:val="44546A"/>
          <w:lang w:val="es-CO"/>
        </w:rPr>
      </w:pPr>
      <w:r w:rsidRPr="00B44393">
        <w:rPr>
          <w:rFonts w:cs="Arial"/>
          <w:color w:val="44546A"/>
          <w:lang w:val="es-CO"/>
        </w:rPr>
        <w:t xml:space="preserve">Tabla </w:t>
      </w:r>
      <w:r w:rsidRPr="00B44393">
        <w:rPr>
          <w:rFonts w:cs="Arial"/>
          <w:color w:val="44546A"/>
          <w:lang w:val="es-CO"/>
        </w:rPr>
        <w:fldChar w:fldCharType="begin"/>
      </w:r>
      <w:r w:rsidRPr="00B44393">
        <w:rPr>
          <w:rFonts w:cs="Arial"/>
          <w:color w:val="44546A"/>
          <w:lang w:val="es-CO"/>
        </w:rPr>
        <w:instrText xml:space="preserve"> SEQ Tabla \* ARABIC \* MERGEFORMAT </w:instrText>
      </w:r>
      <w:r w:rsidRPr="00B44393">
        <w:rPr>
          <w:rFonts w:cs="Arial"/>
          <w:color w:val="44546A"/>
          <w:lang w:val="es-CO"/>
        </w:rPr>
        <w:fldChar w:fldCharType="separate"/>
      </w:r>
      <w:r>
        <w:rPr>
          <w:rFonts w:cs="Arial"/>
          <w:noProof/>
          <w:color w:val="44546A"/>
          <w:lang w:val="es-CO"/>
        </w:rPr>
        <w:t>5</w:t>
      </w:r>
      <w:r w:rsidRPr="00B44393">
        <w:rPr>
          <w:rFonts w:cs="Arial"/>
          <w:color w:val="44546A"/>
          <w:lang w:val="es-CO"/>
        </w:rPr>
        <w:fldChar w:fldCharType="end"/>
      </w:r>
      <w:r w:rsidRPr="00B44393">
        <w:rPr>
          <w:rFonts w:cs="Arial"/>
          <w:color w:val="44546A"/>
          <w:lang w:val="es-CO"/>
        </w:rPr>
        <w:t xml:space="preserve">. Reconciliaciones, costo de restricciones y costo unitario del sistema por escenario de generación térmica y de precio de bolsa. </w:t>
      </w:r>
    </w:p>
    <w:p w14:paraId="0F80CD53" w14:textId="77777777" w:rsidR="008838A5" w:rsidRDefault="008838A5" w:rsidP="008838A5">
      <w:pPr>
        <w:spacing w:after="240"/>
        <w:jc w:val="center"/>
        <w:rPr>
          <w:sz w:val="20"/>
          <w:lang w:val="es-CO"/>
        </w:rPr>
      </w:pPr>
      <w:r w:rsidRPr="00494997">
        <w:rPr>
          <w:noProof/>
          <w:sz w:val="20"/>
          <w:lang w:val="es-CO"/>
        </w:rPr>
        <w:drawing>
          <wp:inline distT="0" distB="0" distL="0" distR="0" wp14:anchorId="45ABB6C5" wp14:editId="678F6CEB">
            <wp:extent cx="5972810" cy="511175"/>
            <wp:effectExtent l="0" t="0" r="0" b="0"/>
            <wp:docPr id="16365524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552485" name=""/>
                    <pic:cNvPicPr/>
                  </pic:nvPicPr>
                  <pic:blipFill>
                    <a:blip r:embed="rId20"/>
                    <a:stretch>
                      <a:fillRect/>
                    </a:stretch>
                  </pic:blipFill>
                  <pic:spPr>
                    <a:xfrm>
                      <a:off x="0" y="0"/>
                      <a:ext cx="5972810" cy="511175"/>
                    </a:xfrm>
                    <a:prstGeom prst="rect">
                      <a:avLst/>
                    </a:prstGeom>
                  </pic:spPr>
                </pic:pic>
              </a:graphicData>
            </a:graphic>
          </wp:inline>
        </w:drawing>
      </w:r>
    </w:p>
    <w:p w14:paraId="5B519DE7" w14:textId="77777777" w:rsidR="008838A5" w:rsidRDefault="008838A5" w:rsidP="008838A5">
      <w:pPr>
        <w:jc w:val="center"/>
        <w:rPr>
          <w:sz w:val="20"/>
          <w:lang w:val="es-CO"/>
        </w:rPr>
      </w:pPr>
      <w:r w:rsidRPr="00494997">
        <w:rPr>
          <w:noProof/>
          <w:sz w:val="20"/>
          <w:lang w:val="es-CO"/>
        </w:rPr>
        <w:drawing>
          <wp:inline distT="0" distB="0" distL="0" distR="0" wp14:anchorId="04526CE9" wp14:editId="6928CB95">
            <wp:extent cx="5972810" cy="1736725"/>
            <wp:effectExtent l="0" t="0" r="0" b="3175"/>
            <wp:docPr id="18082389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38969" name=""/>
                    <pic:cNvPicPr/>
                  </pic:nvPicPr>
                  <pic:blipFill>
                    <a:blip r:embed="rId21"/>
                    <a:stretch>
                      <a:fillRect/>
                    </a:stretch>
                  </pic:blipFill>
                  <pic:spPr>
                    <a:xfrm>
                      <a:off x="0" y="0"/>
                      <a:ext cx="5972810" cy="1736725"/>
                    </a:xfrm>
                    <a:prstGeom prst="rect">
                      <a:avLst/>
                    </a:prstGeom>
                  </pic:spPr>
                </pic:pic>
              </a:graphicData>
            </a:graphic>
          </wp:inline>
        </w:drawing>
      </w:r>
    </w:p>
    <w:p w14:paraId="65237BF6" w14:textId="77777777" w:rsidR="008838A5" w:rsidRPr="00B44393" w:rsidRDefault="008838A5" w:rsidP="008838A5">
      <w:pPr>
        <w:pStyle w:val="Descripcin"/>
        <w:jc w:val="center"/>
        <w:rPr>
          <w:rFonts w:cs="Arial"/>
          <w:color w:val="44546A"/>
          <w:lang w:val="es-CO"/>
        </w:rPr>
      </w:pPr>
      <w:r w:rsidRPr="00B44393">
        <w:rPr>
          <w:rFonts w:cs="Arial"/>
          <w:color w:val="44546A"/>
          <w:lang w:val="es-CO"/>
        </w:rPr>
        <w:t xml:space="preserve">Tabla </w:t>
      </w:r>
      <w:r w:rsidRPr="00B44393">
        <w:rPr>
          <w:rFonts w:cs="Arial"/>
          <w:color w:val="44546A"/>
          <w:lang w:val="es-CO"/>
        </w:rPr>
        <w:fldChar w:fldCharType="begin"/>
      </w:r>
      <w:r w:rsidRPr="00B44393">
        <w:rPr>
          <w:rFonts w:cs="Arial"/>
          <w:color w:val="44546A"/>
          <w:lang w:val="es-CO"/>
        </w:rPr>
        <w:instrText xml:space="preserve"> SEQ Tabla \* ARABIC \* MERGEFORMAT </w:instrText>
      </w:r>
      <w:r w:rsidRPr="00B44393">
        <w:rPr>
          <w:rFonts w:cs="Arial"/>
          <w:color w:val="44546A"/>
          <w:lang w:val="es-CO"/>
        </w:rPr>
        <w:fldChar w:fldCharType="separate"/>
      </w:r>
      <w:r>
        <w:rPr>
          <w:rFonts w:cs="Arial"/>
          <w:noProof/>
          <w:color w:val="44546A"/>
          <w:lang w:val="es-CO"/>
        </w:rPr>
        <w:t>6</w:t>
      </w:r>
      <w:r w:rsidRPr="00B44393">
        <w:rPr>
          <w:rFonts w:cs="Arial"/>
          <w:color w:val="44546A"/>
          <w:lang w:val="es-CO"/>
        </w:rPr>
        <w:fldChar w:fldCharType="end"/>
      </w:r>
      <w:r w:rsidRPr="00B44393">
        <w:rPr>
          <w:rFonts w:cs="Arial"/>
          <w:color w:val="44546A"/>
          <w:lang w:val="es-CO"/>
        </w:rPr>
        <w:t xml:space="preserve">. Costo de la energía de la demanda atendida en bolsa por comercializador. </w:t>
      </w:r>
    </w:p>
    <w:p w14:paraId="1D576C6D" w14:textId="77777777" w:rsidR="008838A5" w:rsidRDefault="008838A5" w:rsidP="008838A5">
      <w:pPr>
        <w:keepNext/>
        <w:jc w:val="center"/>
      </w:pPr>
      <w:r>
        <w:rPr>
          <w:noProof/>
        </w:rPr>
        <w:lastRenderedPageBreak/>
        <w:drawing>
          <wp:inline distT="0" distB="0" distL="0" distR="0" wp14:anchorId="5D170205" wp14:editId="56B5736D">
            <wp:extent cx="5972810" cy="1582420"/>
            <wp:effectExtent l="0" t="0" r="0" b="5080"/>
            <wp:docPr id="15957518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751878" name=""/>
                    <pic:cNvPicPr/>
                  </pic:nvPicPr>
                  <pic:blipFill>
                    <a:blip r:embed="rId22"/>
                    <a:stretch>
                      <a:fillRect/>
                    </a:stretch>
                  </pic:blipFill>
                  <pic:spPr>
                    <a:xfrm>
                      <a:off x="0" y="0"/>
                      <a:ext cx="5972810" cy="1582420"/>
                    </a:xfrm>
                    <a:prstGeom prst="rect">
                      <a:avLst/>
                    </a:prstGeom>
                  </pic:spPr>
                </pic:pic>
              </a:graphicData>
            </a:graphic>
          </wp:inline>
        </w:drawing>
      </w:r>
    </w:p>
    <w:p w14:paraId="3DE76631" w14:textId="77777777" w:rsidR="008838A5" w:rsidRPr="00B44393" w:rsidRDefault="008838A5" w:rsidP="008838A5">
      <w:pPr>
        <w:pStyle w:val="Descripcin"/>
        <w:jc w:val="center"/>
        <w:rPr>
          <w:rFonts w:cs="Arial"/>
          <w:color w:val="44546A"/>
          <w:lang w:val="es-CO"/>
        </w:rPr>
      </w:pPr>
      <w:r w:rsidRPr="00B44393">
        <w:rPr>
          <w:rFonts w:cs="Arial"/>
          <w:color w:val="44546A"/>
        </w:rPr>
        <w:t xml:space="preserve">Figura </w:t>
      </w:r>
      <w:r w:rsidRPr="00B44393">
        <w:rPr>
          <w:rFonts w:cs="Arial"/>
          <w:color w:val="44546A"/>
        </w:rPr>
        <w:fldChar w:fldCharType="begin"/>
      </w:r>
      <w:r w:rsidRPr="00B44393">
        <w:rPr>
          <w:rFonts w:cs="Arial"/>
          <w:color w:val="44546A"/>
        </w:rPr>
        <w:instrText xml:space="preserve"> SEQ Figura \* ARABIC </w:instrText>
      </w:r>
      <w:r w:rsidRPr="00B44393">
        <w:rPr>
          <w:rFonts w:cs="Arial"/>
          <w:color w:val="44546A"/>
        </w:rPr>
        <w:fldChar w:fldCharType="separate"/>
      </w:r>
      <w:r>
        <w:rPr>
          <w:rFonts w:cs="Arial"/>
          <w:noProof/>
          <w:color w:val="44546A"/>
        </w:rPr>
        <w:t>7</w:t>
      </w:r>
      <w:r w:rsidRPr="00B44393">
        <w:rPr>
          <w:rFonts w:cs="Arial"/>
          <w:color w:val="44546A"/>
        </w:rPr>
        <w:fldChar w:fldCharType="end"/>
      </w:r>
      <w:r w:rsidRPr="00B44393">
        <w:rPr>
          <w:rFonts w:cs="Arial"/>
          <w:color w:val="44546A"/>
        </w:rPr>
        <w:t>. CU de los comercializadores más el impacto adicional de 31, 42, 55 COP/kWh</w:t>
      </w:r>
    </w:p>
    <w:p w14:paraId="71484269" w14:textId="77777777" w:rsidR="008838A5" w:rsidRDefault="008838A5" w:rsidP="008838A5">
      <w:pPr>
        <w:jc w:val="center"/>
        <w:rPr>
          <w:sz w:val="20"/>
          <w:lang w:val="es-CO"/>
        </w:rPr>
      </w:pPr>
      <w:r w:rsidRPr="00494997">
        <w:rPr>
          <w:noProof/>
          <w:sz w:val="20"/>
          <w:lang w:val="es-CO"/>
        </w:rPr>
        <w:drawing>
          <wp:inline distT="0" distB="0" distL="0" distR="0" wp14:anchorId="0A19EEDF" wp14:editId="1FEDA56C">
            <wp:extent cx="4361998" cy="1260000"/>
            <wp:effectExtent l="0" t="0" r="0" b="0"/>
            <wp:docPr id="1210455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45599" name=""/>
                    <pic:cNvPicPr/>
                  </pic:nvPicPr>
                  <pic:blipFill>
                    <a:blip r:embed="rId23"/>
                    <a:stretch>
                      <a:fillRect/>
                    </a:stretch>
                  </pic:blipFill>
                  <pic:spPr>
                    <a:xfrm>
                      <a:off x="0" y="0"/>
                      <a:ext cx="4361998" cy="1260000"/>
                    </a:xfrm>
                    <a:prstGeom prst="rect">
                      <a:avLst/>
                    </a:prstGeom>
                  </pic:spPr>
                </pic:pic>
              </a:graphicData>
            </a:graphic>
          </wp:inline>
        </w:drawing>
      </w:r>
    </w:p>
    <w:p w14:paraId="7C28A376" w14:textId="77777777" w:rsidR="008838A5" w:rsidRPr="00B44393" w:rsidRDefault="008838A5" w:rsidP="008838A5">
      <w:pPr>
        <w:pStyle w:val="Descripcin"/>
        <w:jc w:val="center"/>
        <w:rPr>
          <w:rFonts w:cs="Arial"/>
          <w:color w:val="44546A"/>
          <w:lang w:val="es-CO"/>
        </w:rPr>
      </w:pPr>
      <w:r w:rsidRPr="00B44393">
        <w:rPr>
          <w:rFonts w:cs="Arial"/>
          <w:color w:val="44546A"/>
          <w:lang w:val="es-CO"/>
        </w:rPr>
        <w:t xml:space="preserve">Tabla </w:t>
      </w:r>
      <w:r w:rsidRPr="00B44393">
        <w:rPr>
          <w:rFonts w:cs="Arial"/>
          <w:color w:val="44546A"/>
          <w:lang w:val="es-CO"/>
        </w:rPr>
        <w:fldChar w:fldCharType="begin"/>
      </w:r>
      <w:r w:rsidRPr="00B44393">
        <w:rPr>
          <w:rFonts w:cs="Arial"/>
          <w:color w:val="44546A"/>
          <w:lang w:val="es-CO"/>
        </w:rPr>
        <w:instrText xml:space="preserve"> SEQ Tabla \* ARABIC \* MERGEFORMAT </w:instrText>
      </w:r>
      <w:r w:rsidRPr="00B44393">
        <w:rPr>
          <w:rFonts w:cs="Arial"/>
          <w:color w:val="44546A"/>
          <w:lang w:val="es-CO"/>
        </w:rPr>
        <w:fldChar w:fldCharType="separate"/>
      </w:r>
      <w:r>
        <w:rPr>
          <w:rFonts w:cs="Arial"/>
          <w:noProof/>
          <w:color w:val="44546A"/>
          <w:lang w:val="es-CO"/>
        </w:rPr>
        <w:t>7</w:t>
      </w:r>
      <w:r w:rsidRPr="00B44393">
        <w:rPr>
          <w:rFonts w:cs="Arial"/>
          <w:color w:val="44546A"/>
          <w:lang w:val="es-CO"/>
        </w:rPr>
        <w:fldChar w:fldCharType="end"/>
      </w:r>
      <w:r w:rsidRPr="00B44393">
        <w:rPr>
          <w:rFonts w:cs="Arial"/>
          <w:color w:val="44546A"/>
          <w:lang w:val="es-CO"/>
        </w:rPr>
        <w:t xml:space="preserve">. Valor de las restricciones del mes e incremento sobre el costo unitario de prestación del servicio por escenario de generación térmica. </w:t>
      </w:r>
    </w:p>
    <w:p w14:paraId="3E13E6AB" w14:textId="77777777" w:rsidR="008838A5" w:rsidRPr="006C1996" w:rsidRDefault="008838A5" w:rsidP="008838A5">
      <w:pPr>
        <w:rPr>
          <w:rFonts w:cs="Arial"/>
          <w:color w:val="000000"/>
          <w:sz w:val="22"/>
        </w:rPr>
      </w:pPr>
      <w:r>
        <w:rPr>
          <w:rFonts w:cs="Arial"/>
          <w:color w:val="000000"/>
          <w:sz w:val="22"/>
        </w:rPr>
        <w:t>El precio de bolsa asociado al X% igual al NEP es el menor de las tres alternativas evaluadas. En consecuencia, es la alternativa que genera el menor impacto sobre el flujo de caja de los comercializadores con mayor exposición en bolsa y la que reduce la probabilidad de desviaciones negativas frente a las OEF durante una activación prolongada del mecanismo. Como contrapartida, implica un mayor costo de restricciones, en la medida en que mantiene una mayor generación térmica en mérito. La Comisión pondera ambos efectos y privilegia la contención del precio de bolsa: un menor precio contribuye a preservar la sostenibilidad financiera del mercado de energía mayorista (MEM) y a mitigar el riesgo de incumplimiento de un agente que, por su exposición, pudiera propagar un riesgo sistémico. El mayor costo de restricciones, por su naturaleza, se distribuye de manera previsible y no concentra el riesgo de default en los agentes más expuestos.</w:t>
      </w:r>
    </w:p>
    <w:p w14:paraId="1C851141" w14:textId="77777777" w:rsidR="008838A5" w:rsidRDefault="008838A5" w:rsidP="008838A5">
      <w:pPr>
        <w:rPr>
          <w:rFonts w:cs="Arial"/>
          <w:color w:val="000000"/>
          <w:sz w:val="22"/>
        </w:rPr>
      </w:pPr>
    </w:p>
    <w:p w14:paraId="37F3AA01" w14:textId="77777777" w:rsidR="008838A5" w:rsidRDefault="008838A5" w:rsidP="008838A5">
      <w:pPr>
        <w:pStyle w:val="Ttulo1"/>
        <w:spacing w:before="360"/>
        <w:rPr>
          <w:szCs w:val="24"/>
          <w:lang w:val="es-CO"/>
        </w:rPr>
      </w:pPr>
      <w:bookmarkStart w:id="24" w:name="_Toc239520998"/>
      <w:r>
        <w:rPr>
          <w:szCs w:val="24"/>
          <w:lang w:val="es-CO"/>
        </w:rPr>
        <w:t>RESUMEN</w:t>
      </w:r>
      <w:bookmarkEnd w:id="24"/>
    </w:p>
    <w:p w14:paraId="19CDB578" w14:textId="77777777" w:rsidR="008838A5" w:rsidRDefault="008838A5" w:rsidP="008838A5">
      <w:pPr>
        <w:spacing w:after="160"/>
        <w:rPr>
          <w:sz w:val="22"/>
          <w:szCs w:val="22"/>
          <w:lang w:val="es-CO"/>
        </w:rPr>
      </w:pPr>
      <w:r>
        <w:rPr>
          <w:sz w:val="22"/>
          <w:szCs w:val="22"/>
          <w:lang w:val="es-CO"/>
        </w:rPr>
        <w:t>La Comisión acoge la propuesta del CND en la generalidad de los insumos del cálculo, por su conformidad con el Anexo 1, por la trazabilidad de sus fuentes y por su convergencia con la propuesta del CNO, y se aparta de ella en los aspectos puntuales que se indican. Las dos variables de mayor impacto se resuelven conforme a los objetivos que orientan el mecanismo: el umbral ISO-térmica se fija con un criterio de confiabilidad, preservando un margen de embalse para transitar el verano bajo el fenómeno de El Niño; y el parámetro X% se fija en el NEP con un criterio de sostenibilidad financiera, por ser la señal de precio de menor impacto sobre los agentes expuestos y sobre el riesgo sistémico. El siguiente cuadro sintetiza la determinación:</w:t>
      </w:r>
    </w:p>
    <w:tbl>
      <w:tblPr>
        <w:tblW w:w="9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4A0" w:firstRow="1" w:lastRow="0" w:firstColumn="1" w:lastColumn="0" w:noHBand="0" w:noVBand="1"/>
      </w:tblPr>
      <w:tblGrid>
        <w:gridCol w:w="2450"/>
        <w:gridCol w:w="1650"/>
        <w:gridCol w:w="5306"/>
      </w:tblGrid>
      <w:tr w:rsidR="008838A5" w14:paraId="5423C26C" w14:textId="77777777" w:rsidTr="00864A13">
        <w:trPr>
          <w:tblHeader/>
        </w:trPr>
        <w:tc>
          <w:tcPr>
            <w:tcW w:w="2450" w:type="dxa"/>
            <w:shd w:val="clear" w:color="auto" w:fill="D9D9D9"/>
            <w:vAlign w:val="center"/>
          </w:tcPr>
          <w:p w14:paraId="03B76C8D" w14:textId="77777777" w:rsidR="008838A5" w:rsidRDefault="008838A5" w:rsidP="00864A13">
            <w:pPr>
              <w:jc w:val="center"/>
              <w:rPr>
                <w:b/>
                <w:sz w:val="20"/>
              </w:rPr>
            </w:pPr>
            <w:r>
              <w:rPr>
                <w:b/>
                <w:sz w:val="20"/>
              </w:rPr>
              <w:lastRenderedPageBreak/>
              <w:t>Parámetro o variable</w:t>
            </w:r>
          </w:p>
        </w:tc>
        <w:tc>
          <w:tcPr>
            <w:tcW w:w="1650" w:type="dxa"/>
            <w:shd w:val="clear" w:color="auto" w:fill="D9D9D9"/>
            <w:vAlign w:val="center"/>
          </w:tcPr>
          <w:p w14:paraId="2ECC1A4A" w14:textId="77777777" w:rsidR="008838A5" w:rsidRDefault="008838A5" w:rsidP="00864A13">
            <w:pPr>
              <w:jc w:val="center"/>
              <w:rPr>
                <w:b/>
                <w:sz w:val="20"/>
              </w:rPr>
            </w:pPr>
            <w:r>
              <w:rPr>
                <w:b/>
                <w:sz w:val="20"/>
              </w:rPr>
              <w:t>Determinación</w:t>
            </w:r>
          </w:p>
        </w:tc>
        <w:tc>
          <w:tcPr>
            <w:tcW w:w="5306" w:type="dxa"/>
            <w:shd w:val="clear" w:color="auto" w:fill="D9D9D9"/>
            <w:vAlign w:val="center"/>
          </w:tcPr>
          <w:p w14:paraId="67196425" w14:textId="77777777" w:rsidR="008838A5" w:rsidRDefault="008838A5" w:rsidP="00864A13">
            <w:pPr>
              <w:jc w:val="center"/>
              <w:rPr>
                <w:b/>
                <w:sz w:val="20"/>
              </w:rPr>
            </w:pPr>
            <w:r>
              <w:rPr>
                <w:b/>
                <w:sz w:val="20"/>
              </w:rPr>
              <w:t>Fundamento</w:t>
            </w:r>
          </w:p>
        </w:tc>
      </w:tr>
      <w:tr w:rsidR="008838A5" w14:paraId="66B40D71" w14:textId="77777777" w:rsidTr="00864A13">
        <w:tc>
          <w:tcPr>
            <w:tcW w:w="2450" w:type="dxa"/>
            <w:vAlign w:val="center"/>
          </w:tcPr>
          <w:p w14:paraId="7AE6810C" w14:textId="77777777" w:rsidR="008838A5" w:rsidRDefault="008838A5" w:rsidP="00864A13">
            <w:pPr>
              <w:jc w:val="left"/>
              <w:rPr>
                <w:sz w:val="20"/>
              </w:rPr>
            </w:pPr>
            <w:r>
              <w:rPr>
                <w:sz w:val="20"/>
              </w:rPr>
              <w:t>Conformación del embalse parcial</w:t>
            </w:r>
          </w:p>
        </w:tc>
        <w:tc>
          <w:tcPr>
            <w:tcW w:w="1650" w:type="dxa"/>
            <w:vAlign w:val="center"/>
          </w:tcPr>
          <w:p w14:paraId="77F1A510" w14:textId="77777777" w:rsidR="008838A5" w:rsidRDefault="008838A5" w:rsidP="00864A13">
            <w:pPr>
              <w:jc w:val="center"/>
              <w:rPr>
                <w:b/>
                <w:sz w:val="20"/>
              </w:rPr>
            </w:pPr>
            <w:r>
              <w:rPr>
                <w:b/>
                <w:sz w:val="20"/>
              </w:rPr>
              <w:t>Se acoge</w:t>
            </w:r>
          </w:p>
        </w:tc>
        <w:tc>
          <w:tcPr>
            <w:tcW w:w="5306" w:type="dxa"/>
            <w:vAlign w:val="center"/>
          </w:tcPr>
          <w:p w14:paraId="0C5652D3" w14:textId="77777777" w:rsidR="008838A5" w:rsidRDefault="008838A5" w:rsidP="00864A13">
            <w:pPr>
              <w:rPr>
                <w:sz w:val="20"/>
              </w:rPr>
            </w:pPr>
            <w:r>
              <w:rPr>
                <w:sz w:val="20"/>
              </w:rPr>
              <w:t>Excluye la cadena del sistema Bogotá, cuya oferta se modela con la ENFICC de PAGUA; evita la doble contabilización del recurso.</w:t>
            </w:r>
          </w:p>
        </w:tc>
      </w:tr>
      <w:tr w:rsidR="008838A5" w14:paraId="0A2BA852" w14:textId="77777777" w:rsidTr="00864A13">
        <w:tc>
          <w:tcPr>
            <w:tcW w:w="2450" w:type="dxa"/>
            <w:vAlign w:val="center"/>
          </w:tcPr>
          <w:p w14:paraId="24748903" w14:textId="77777777" w:rsidR="008838A5" w:rsidRDefault="008838A5" w:rsidP="00864A13">
            <w:pPr>
              <w:jc w:val="left"/>
              <w:rPr>
                <w:sz w:val="20"/>
              </w:rPr>
            </w:pPr>
            <w:r>
              <w:rPr>
                <w:sz w:val="20"/>
              </w:rPr>
              <w:t>Demanda mensual de energía</w:t>
            </w:r>
          </w:p>
        </w:tc>
        <w:tc>
          <w:tcPr>
            <w:tcW w:w="1650" w:type="dxa"/>
            <w:vAlign w:val="center"/>
          </w:tcPr>
          <w:p w14:paraId="25B8ED37" w14:textId="77777777" w:rsidR="008838A5" w:rsidRDefault="008838A5" w:rsidP="00864A13">
            <w:pPr>
              <w:jc w:val="center"/>
              <w:rPr>
                <w:b/>
                <w:sz w:val="20"/>
              </w:rPr>
            </w:pPr>
            <w:r>
              <w:rPr>
                <w:b/>
                <w:sz w:val="20"/>
              </w:rPr>
              <w:t>Se acoge</w:t>
            </w:r>
          </w:p>
        </w:tc>
        <w:tc>
          <w:tcPr>
            <w:tcW w:w="5306" w:type="dxa"/>
            <w:vAlign w:val="center"/>
          </w:tcPr>
          <w:p w14:paraId="42712881" w14:textId="77777777" w:rsidR="008838A5" w:rsidRDefault="008838A5" w:rsidP="00864A13">
            <w:pPr>
              <w:rPr>
                <w:sz w:val="20"/>
              </w:rPr>
            </w:pPr>
            <w:r>
              <w:rPr>
                <w:sz w:val="20"/>
              </w:rPr>
              <w:t>Última proyección de la UPME, escenario medio.</w:t>
            </w:r>
          </w:p>
        </w:tc>
      </w:tr>
      <w:tr w:rsidR="008838A5" w14:paraId="1C655CCE" w14:textId="77777777" w:rsidTr="00864A13">
        <w:tc>
          <w:tcPr>
            <w:tcW w:w="2450" w:type="dxa"/>
            <w:vAlign w:val="center"/>
          </w:tcPr>
          <w:p w14:paraId="47E501E5" w14:textId="77777777" w:rsidR="008838A5" w:rsidRDefault="008838A5" w:rsidP="00864A13">
            <w:pPr>
              <w:jc w:val="left"/>
              <w:rPr>
                <w:sz w:val="20"/>
              </w:rPr>
            </w:pPr>
            <w:r>
              <w:rPr>
                <w:sz w:val="20"/>
              </w:rPr>
              <w:t>Serie crítica de aportes hídricos</w:t>
            </w:r>
          </w:p>
        </w:tc>
        <w:tc>
          <w:tcPr>
            <w:tcW w:w="1650" w:type="dxa"/>
            <w:vAlign w:val="center"/>
          </w:tcPr>
          <w:p w14:paraId="37867932" w14:textId="77777777" w:rsidR="008838A5" w:rsidRDefault="008838A5" w:rsidP="00864A13">
            <w:pPr>
              <w:jc w:val="center"/>
              <w:rPr>
                <w:b/>
                <w:sz w:val="20"/>
              </w:rPr>
            </w:pPr>
            <w:r>
              <w:rPr>
                <w:b/>
                <w:sz w:val="20"/>
              </w:rPr>
              <w:t>Se acoge</w:t>
            </w:r>
          </w:p>
        </w:tc>
        <w:tc>
          <w:tcPr>
            <w:tcW w:w="5306" w:type="dxa"/>
            <w:vAlign w:val="center"/>
          </w:tcPr>
          <w:p w14:paraId="3CE4462F" w14:textId="77777777" w:rsidR="008838A5" w:rsidRDefault="008838A5" w:rsidP="00864A13">
            <w:pPr>
              <w:rPr>
                <w:sz w:val="20"/>
              </w:rPr>
            </w:pPr>
            <w:r>
              <w:rPr>
                <w:sz w:val="20"/>
              </w:rPr>
              <w:t>Serie histórica más deficitaria registrada, 2015-2016; criterio objetivo, replicable y coincidente en ambas propuestas.</w:t>
            </w:r>
          </w:p>
        </w:tc>
      </w:tr>
      <w:tr w:rsidR="008838A5" w14:paraId="409B1251" w14:textId="77777777" w:rsidTr="00864A13">
        <w:tc>
          <w:tcPr>
            <w:tcW w:w="2450" w:type="dxa"/>
            <w:vAlign w:val="center"/>
          </w:tcPr>
          <w:p w14:paraId="77A61B9B" w14:textId="77777777" w:rsidR="008838A5" w:rsidRDefault="008838A5" w:rsidP="00864A13">
            <w:pPr>
              <w:jc w:val="left"/>
              <w:rPr>
                <w:sz w:val="20"/>
              </w:rPr>
            </w:pPr>
            <w:r>
              <w:rPr>
                <w:sz w:val="20"/>
              </w:rPr>
              <w:t>Escalones de generación térmica objetivo</w:t>
            </w:r>
          </w:p>
        </w:tc>
        <w:tc>
          <w:tcPr>
            <w:tcW w:w="1650" w:type="dxa"/>
            <w:vAlign w:val="center"/>
          </w:tcPr>
          <w:p w14:paraId="3A7E022B" w14:textId="77777777" w:rsidR="008838A5" w:rsidRDefault="008838A5" w:rsidP="00864A13">
            <w:pPr>
              <w:jc w:val="center"/>
              <w:rPr>
                <w:b/>
                <w:sz w:val="20"/>
              </w:rPr>
            </w:pPr>
            <w:r>
              <w:rPr>
                <w:b/>
                <w:sz w:val="20"/>
              </w:rPr>
              <w:t>Se aparta</w:t>
            </w:r>
          </w:p>
        </w:tc>
        <w:tc>
          <w:tcPr>
            <w:tcW w:w="5306" w:type="dxa"/>
            <w:vAlign w:val="center"/>
          </w:tcPr>
          <w:p w14:paraId="0F260504" w14:textId="77777777" w:rsidR="008838A5" w:rsidRDefault="008838A5" w:rsidP="00864A13">
            <w:pPr>
              <w:rPr>
                <w:sz w:val="20"/>
              </w:rPr>
            </w:pPr>
            <w:r>
              <w:rPr>
                <w:sz w:val="20"/>
              </w:rPr>
              <w:t>El valor mínimo del escalonamiento se fija en 80 GWh/día y el máximo en la última ENFICC verificada del parque térmico. Los escalones inferiores producen curvas saturadas en la cota superior, sin capacidad de discriminación ni exigibilidad operativa. Coincide con la propuesta del CNO.</w:t>
            </w:r>
          </w:p>
        </w:tc>
      </w:tr>
      <w:tr w:rsidR="008838A5" w14:paraId="496019CF" w14:textId="77777777" w:rsidTr="00864A13">
        <w:tc>
          <w:tcPr>
            <w:tcW w:w="2450" w:type="dxa"/>
            <w:vAlign w:val="center"/>
          </w:tcPr>
          <w:p w14:paraId="181A792E" w14:textId="77777777" w:rsidR="008838A5" w:rsidRDefault="008838A5" w:rsidP="00864A13">
            <w:pPr>
              <w:jc w:val="left"/>
              <w:rPr>
                <w:sz w:val="20"/>
              </w:rPr>
            </w:pPr>
            <w:r>
              <w:rPr>
                <w:sz w:val="20"/>
              </w:rPr>
              <w:t xml:space="preserve">Sistema de Bogotá (PAGUA) y plantas filo de agua San Miguel, Cucuana y </w:t>
            </w:r>
            <w:proofErr w:type="spellStart"/>
            <w:r>
              <w:rPr>
                <w:sz w:val="20"/>
              </w:rPr>
              <w:t>Amoyá</w:t>
            </w:r>
            <w:proofErr w:type="spellEnd"/>
          </w:p>
        </w:tc>
        <w:tc>
          <w:tcPr>
            <w:tcW w:w="1650" w:type="dxa"/>
            <w:vAlign w:val="center"/>
          </w:tcPr>
          <w:p w14:paraId="4AA7A5B0" w14:textId="77777777" w:rsidR="008838A5" w:rsidRDefault="008838A5" w:rsidP="00864A13">
            <w:pPr>
              <w:jc w:val="center"/>
              <w:rPr>
                <w:b/>
                <w:sz w:val="20"/>
              </w:rPr>
            </w:pPr>
            <w:r>
              <w:rPr>
                <w:b/>
                <w:sz w:val="20"/>
              </w:rPr>
              <w:t>Se aparta</w:t>
            </w:r>
          </w:p>
        </w:tc>
        <w:tc>
          <w:tcPr>
            <w:tcW w:w="5306" w:type="dxa"/>
            <w:vAlign w:val="center"/>
          </w:tcPr>
          <w:p w14:paraId="1C8C31D3" w14:textId="77777777" w:rsidR="008838A5" w:rsidRDefault="008838A5" w:rsidP="00864A13">
            <w:pPr>
              <w:rPr>
                <w:sz w:val="20"/>
              </w:rPr>
            </w:pPr>
            <w:r>
              <w:rPr>
                <w:sz w:val="20"/>
              </w:rPr>
              <w:t>La generación mensual se obtiene aplicando el valor de ENFICC vigente a todos los meses del horizonte. No se acoge el perfil mensual del año de vigencia de la ENFICC, por conformidad con el literal c. del Anexo 1, consistencia del escenario y homogeneidad entre recursos con energía firme.</w:t>
            </w:r>
          </w:p>
        </w:tc>
      </w:tr>
      <w:tr w:rsidR="008838A5" w14:paraId="6A584470" w14:textId="77777777" w:rsidTr="00864A13">
        <w:tc>
          <w:tcPr>
            <w:tcW w:w="2450" w:type="dxa"/>
            <w:vAlign w:val="center"/>
          </w:tcPr>
          <w:p w14:paraId="06CAEFD9" w14:textId="77777777" w:rsidR="008838A5" w:rsidRDefault="008838A5" w:rsidP="00864A13">
            <w:pPr>
              <w:jc w:val="left"/>
              <w:rPr>
                <w:sz w:val="20"/>
              </w:rPr>
            </w:pPr>
            <w:r>
              <w:rPr>
                <w:sz w:val="20"/>
              </w:rPr>
              <w:t>FNCER despachadas centralmente con OEF</w:t>
            </w:r>
          </w:p>
        </w:tc>
        <w:tc>
          <w:tcPr>
            <w:tcW w:w="1650" w:type="dxa"/>
            <w:vAlign w:val="center"/>
          </w:tcPr>
          <w:p w14:paraId="325FFC8C" w14:textId="77777777" w:rsidR="008838A5" w:rsidRDefault="008838A5" w:rsidP="00864A13">
            <w:pPr>
              <w:jc w:val="center"/>
              <w:rPr>
                <w:b/>
                <w:sz w:val="20"/>
              </w:rPr>
            </w:pPr>
            <w:r>
              <w:rPr>
                <w:b/>
                <w:sz w:val="20"/>
              </w:rPr>
              <w:t>Se acoge</w:t>
            </w:r>
          </w:p>
        </w:tc>
        <w:tc>
          <w:tcPr>
            <w:tcW w:w="5306" w:type="dxa"/>
            <w:vAlign w:val="center"/>
          </w:tcPr>
          <w:p w14:paraId="276860DA" w14:textId="77777777" w:rsidR="008838A5" w:rsidRDefault="008838A5" w:rsidP="00864A13">
            <w:pPr>
              <w:rPr>
                <w:sz w:val="20"/>
              </w:rPr>
            </w:pPr>
            <w:r>
              <w:rPr>
                <w:sz w:val="20"/>
              </w:rPr>
              <w:t>Valor único de ENFICC para todo el horizonte, conforme al literal c. del numeral 2 del Anexo 1.</w:t>
            </w:r>
          </w:p>
        </w:tc>
      </w:tr>
      <w:tr w:rsidR="008838A5" w14:paraId="3D777488" w14:textId="77777777" w:rsidTr="00864A13">
        <w:tc>
          <w:tcPr>
            <w:tcW w:w="2450" w:type="dxa"/>
            <w:vAlign w:val="center"/>
          </w:tcPr>
          <w:p w14:paraId="57467432" w14:textId="77777777" w:rsidR="008838A5" w:rsidRDefault="008838A5" w:rsidP="00864A13">
            <w:pPr>
              <w:jc w:val="left"/>
              <w:rPr>
                <w:sz w:val="20"/>
              </w:rPr>
            </w:pPr>
            <w:r>
              <w:rPr>
                <w:sz w:val="20"/>
              </w:rPr>
              <w:t>Plantas no despachadas centralmente</w:t>
            </w:r>
          </w:p>
        </w:tc>
        <w:tc>
          <w:tcPr>
            <w:tcW w:w="1650" w:type="dxa"/>
            <w:vAlign w:val="center"/>
          </w:tcPr>
          <w:p w14:paraId="44E49780" w14:textId="77777777" w:rsidR="008838A5" w:rsidRDefault="008838A5" w:rsidP="00864A13">
            <w:pPr>
              <w:jc w:val="center"/>
              <w:rPr>
                <w:b/>
                <w:sz w:val="20"/>
              </w:rPr>
            </w:pPr>
            <w:r>
              <w:rPr>
                <w:b/>
                <w:sz w:val="20"/>
              </w:rPr>
              <w:t>Se acoge</w:t>
            </w:r>
          </w:p>
        </w:tc>
        <w:tc>
          <w:tcPr>
            <w:tcW w:w="5306" w:type="dxa"/>
            <w:vAlign w:val="center"/>
          </w:tcPr>
          <w:p w14:paraId="1094F493" w14:textId="77777777" w:rsidR="008838A5" w:rsidRDefault="008838A5" w:rsidP="00864A13">
            <w:pPr>
              <w:rPr>
                <w:sz w:val="20"/>
              </w:rPr>
            </w:pPr>
            <w:r>
              <w:rPr>
                <w:sz w:val="20"/>
              </w:rPr>
              <w:t>Mínimos mensuales de una ventana histórica de diez años; promedio del año hidrológico en curso para las FNCER, por el crecimiento del parque instalado.</w:t>
            </w:r>
          </w:p>
        </w:tc>
      </w:tr>
      <w:tr w:rsidR="008838A5" w14:paraId="36286D08" w14:textId="77777777" w:rsidTr="00864A13">
        <w:tc>
          <w:tcPr>
            <w:tcW w:w="2450" w:type="dxa"/>
            <w:vAlign w:val="center"/>
          </w:tcPr>
          <w:p w14:paraId="2ABE6A09" w14:textId="77777777" w:rsidR="008838A5" w:rsidRDefault="008838A5" w:rsidP="00864A13">
            <w:pPr>
              <w:jc w:val="left"/>
              <w:rPr>
                <w:sz w:val="20"/>
              </w:rPr>
            </w:pPr>
            <w:r>
              <w:rPr>
                <w:sz w:val="20"/>
              </w:rPr>
              <w:t>Desbalance hídrico</w:t>
            </w:r>
          </w:p>
        </w:tc>
        <w:tc>
          <w:tcPr>
            <w:tcW w:w="1650" w:type="dxa"/>
            <w:vAlign w:val="center"/>
          </w:tcPr>
          <w:p w14:paraId="65F6B2EF" w14:textId="77777777" w:rsidR="008838A5" w:rsidRDefault="008838A5" w:rsidP="00864A13">
            <w:pPr>
              <w:jc w:val="center"/>
              <w:rPr>
                <w:b/>
                <w:sz w:val="20"/>
              </w:rPr>
            </w:pPr>
            <w:r>
              <w:rPr>
                <w:b/>
                <w:sz w:val="20"/>
              </w:rPr>
              <w:t>Se acoge</w:t>
            </w:r>
          </w:p>
        </w:tc>
        <w:tc>
          <w:tcPr>
            <w:tcW w:w="5306" w:type="dxa"/>
            <w:vAlign w:val="center"/>
          </w:tcPr>
          <w:p w14:paraId="443B6898" w14:textId="77777777" w:rsidR="008838A5" w:rsidRDefault="008838A5" w:rsidP="00864A13">
            <w:pPr>
              <w:rPr>
                <w:sz w:val="20"/>
              </w:rPr>
            </w:pPr>
            <w:r>
              <w:rPr>
                <w:sz w:val="20"/>
              </w:rPr>
              <w:t>Balances en energía de las cadenas del embalse parcial, metodología discutida en los espacios técnicos del CNO, ventana de doce meses.</w:t>
            </w:r>
          </w:p>
        </w:tc>
      </w:tr>
      <w:tr w:rsidR="008838A5" w14:paraId="0A43B381" w14:textId="77777777" w:rsidTr="00864A13">
        <w:tc>
          <w:tcPr>
            <w:tcW w:w="2450" w:type="dxa"/>
            <w:vAlign w:val="center"/>
          </w:tcPr>
          <w:p w14:paraId="47EB8F44" w14:textId="77777777" w:rsidR="008838A5" w:rsidRDefault="008838A5" w:rsidP="00864A13">
            <w:pPr>
              <w:jc w:val="left"/>
              <w:rPr>
                <w:sz w:val="20"/>
              </w:rPr>
            </w:pPr>
            <w:r>
              <w:rPr>
                <w:sz w:val="20"/>
              </w:rPr>
              <w:t>Vertimientos</w:t>
            </w:r>
          </w:p>
        </w:tc>
        <w:tc>
          <w:tcPr>
            <w:tcW w:w="1650" w:type="dxa"/>
            <w:vAlign w:val="center"/>
          </w:tcPr>
          <w:p w14:paraId="32E408DC" w14:textId="77777777" w:rsidR="008838A5" w:rsidRDefault="008838A5" w:rsidP="00864A13">
            <w:pPr>
              <w:jc w:val="center"/>
              <w:rPr>
                <w:b/>
                <w:sz w:val="20"/>
              </w:rPr>
            </w:pPr>
            <w:r>
              <w:rPr>
                <w:b/>
                <w:sz w:val="20"/>
              </w:rPr>
              <w:t>Se acoge</w:t>
            </w:r>
          </w:p>
        </w:tc>
        <w:tc>
          <w:tcPr>
            <w:tcW w:w="5306" w:type="dxa"/>
            <w:vAlign w:val="center"/>
          </w:tcPr>
          <w:p w14:paraId="71349BA3" w14:textId="77777777" w:rsidR="008838A5" w:rsidRDefault="008838A5" w:rsidP="00864A13">
            <w:pPr>
              <w:rPr>
                <w:sz w:val="20"/>
              </w:rPr>
            </w:pPr>
            <w:r>
              <w:rPr>
                <w:sz w:val="20"/>
              </w:rPr>
              <w:t>Nulos en todo el horizonte, por corresponder el ejercicio a un escenario de hidrología crítica.</w:t>
            </w:r>
          </w:p>
        </w:tc>
      </w:tr>
      <w:tr w:rsidR="008838A5" w14:paraId="788C1224" w14:textId="77777777" w:rsidTr="00864A13">
        <w:tc>
          <w:tcPr>
            <w:tcW w:w="2450" w:type="dxa"/>
            <w:vAlign w:val="center"/>
          </w:tcPr>
          <w:p w14:paraId="624A15EE" w14:textId="77777777" w:rsidR="008838A5" w:rsidRDefault="008838A5" w:rsidP="00864A13">
            <w:pPr>
              <w:jc w:val="left"/>
              <w:rPr>
                <w:sz w:val="20"/>
              </w:rPr>
            </w:pPr>
            <w:r>
              <w:rPr>
                <w:sz w:val="20"/>
              </w:rPr>
              <w:t>Nivel %V del embalse al final del verano</w:t>
            </w:r>
          </w:p>
        </w:tc>
        <w:tc>
          <w:tcPr>
            <w:tcW w:w="1650" w:type="dxa"/>
            <w:vAlign w:val="center"/>
          </w:tcPr>
          <w:p w14:paraId="4F3842E5" w14:textId="77777777" w:rsidR="008838A5" w:rsidRDefault="008838A5" w:rsidP="00864A13">
            <w:pPr>
              <w:jc w:val="center"/>
              <w:rPr>
                <w:b/>
                <w:sz w:val="20"/>
              </w:rPr>
            </w:pPr>
            <w:r>
              <w:rPr>
                <w:b/>
                <w:sz w:val="20"/>
              </w:rPr>
              <w:t>Se acoge</w:t>
            </w:r>
          </w:p>
        </w:tc>
        <w:tc>
          <w:tcPr>
            <w:tcW w:w="5306" w:type="dxa"/>
            <w:vAlign w:val="center"/>
          </w:tcPr>
          <w:p w14:paraId="3C6B3990" w14:textId="77777777" w:rsidR="008838A5" w:rsidRDefault="008838A5" w:rsidP="00864A13">
            <w:pPr>
              <w:rPr>
                <w:sz w:val="20"/>
              </w:rPr>
            </w:pPr>
            <w:r>
              <w:rPr>
                <w:sz w:val="20"/>
              </w:rPr>
              <w:t>Sustentado en el comportamiento histórico del propio agregado parcial, incluido el descenso del evento El Niño 2023-2024; opera como piso operativo con margen.</w:t>
            </w:r>
          </w:p>
        </w:tc>
      </w:tr>
      <w:tr w:rsidR="008838A5" w14:paraId="1AE923AB" w14:textId="77777777" w:rsidTr="00864A13">
        <w:tc>
          <w:tcPr>
            <w:tcW w:w="2450" w:type="dxa"/>
            <w:vAlign w:val="center"/>
          </w:tcPr>
          <w:p w14:paraId="30A0DE33" w14:textId="77777777" w:rsidR="008838A5" w:rsidRDefault="008838A5" w:rsidP="00864A13">
            <w:pPr>
              <w:jc w:val="left"/>
              <w:rPr>
                <w:sz w:val="20"/>
              </w:rPr>
            </w:pPr>
            <w:r>
              <w:rPr>
                <w:sz w:val="20"/>
              </w:rPr>
              <w:t>Umbral ISO-térmica</w:t>
            </w:r>
          </w:p>
        </w:tc>
        <w:tc>
          <w:tcPr>
            <w:tcW w:w="1650" w:type="dxa"/>
            <w:vAlign w:val="center"/>
          </w:tcPr>
          <w:p w14:paraId="26790C64" w14:textId="77777777" w:rsidR="008838A5" w:rsidRDefault="008838A5" w:rsidP="00864A13">
            <w:pPr>
              <w:jc w:val="center"/>
              <w:rPr>
                <w:b/>
                <w:sz w:val="20"/>
              </w:rPr>
            </w:pPr>
            <w:r>
              <w:rPr>
                <w:b/>
                <w:sz w:val="20"/>
              </w:rPr>
              <w:t>Se acoge el criterio</w:t>
            </w:r>
          </w:p>
        </w:tc>
        <w:tc>
          <w:tcPr>
            <w:tcW w:w="5306" w:type="dxa"/>
            <w:vAlign w:val="center"/>
          </w:tcPr>
          <w:p w14:paraId="0CDD2535" w14:textId="77777777" w:rsidR="008838A5" w:rsidRDefault="008838A5" w:rsidP="00864A13">
            <w:pPr>
              <w:rPr>
                <w:sz w:val="20"/>
              </w:rPr>
            </w:pPr>
            <w:r>
              <w:rPr>
                <w:sz w:val="20"/>
              </w:rPr>
              <w:t>Curva ISO-GT de 85 GWh/día.</w:t>
            </w:r>
          </w:p>
        </w:tc>
      </w:tr>
      <w:tr w:rsidR="008838A5" w14:paraId="4E1CA3DE" w14:textId="77777777" w:rsidTr="00864A13">
        <w:tc>
          <w:tcPr>
            <w:tcW w:w="2450" w:type="dxa"/>
            <w:vAlign w:val="center"/>
          </w:tcPr>
          <w:p w14:paraId="7D0A208C" w14:textId="77777777" w:rsidR="008838A5" w:rsidRDefault="008838A5" w:rsidP="00864A13">
            <w:pPr>
              <w:jc w:val="left"/>
              <w:rPr>
                <w:sz w:val="20"/>
              </w:rPr>
            </w:pPr>
            <w:r>
              <w:rPr>
                <w:sz w:val="20"/>
              </w:rPr>
              <w:t>Parámetro X% de la curva de referencia de oferta</w:t>
            </w:r>
          </w:p>
        </w:tc>
        <w:tc>
          <w:tcPr>
            <w:tcW w:w="1650" w:type="dxa"/>
            <w:vAlign w:val="center"/>
          </w:tcPr>
          <w:p w14:paraId="088F9B5D" w14:textId="77777777" w:rsidR="008838A5" w:rsidRDefault="008838A5" w:rsidP="00864A13">
            <w:pPr>
              <w:jc w:val="center"/>
              <w:rPr>
                <w:b/>
                <w:sz w:val="20"/>
              </w:rPr>
            </w:pPr>
            <w:r>
              <w:rPr>
                <w:b/>
                <w:sz w:val="20"/>
              </w:rPr>
              <w:t>Se acoge</w:t>
            </w:r>
          </w:p>
        </w:tc>
        <w:tc>
          <w:tcPr>
            <w:tcW w:w="5306" w:type="dxa"/>
            <w:vAlign w:val="center"/>
          </w:tcPr>
          <w:p w14:paraId="0848060C" w14:textId="77777777" w:rsidR="008838A5" w:rsidRDefault="008838A5" w:rsidP="00864A13">
            <w:pPr>
              <w:rPr>
                <w:sz w:val="20"/>
              </w:rPr>
            </w:pPr>
            <w:r>
              <w:rPr>
                <w:sz w:val="20"/>
              </w:rPr>
              <w:t>Valor del NEP de cada planta; reconoce la heterogeneidad de los embalses, preserva la estructura de la curva y se apoya en información disponible y verificable.</w:t>
            </w:r>
          </w:p>
        </w:tc>
      </w:tr>
    </w:tbl>
    <w:p w14:paraId="3BC76D9D" w14:textId="77777777" w:rsidR="008838A5" w:rsidRDefault="008838A5" w:rsidP="008838A5">
      <w:pPr>
        <w:spacing w:after="160"/>
        <w:rPr>
          <w:sz w:val="22"/>
          <w:szCs w:val="22"/>
          <w:lang w:val="es-CO"/>
        </w:rPr>
      </w:pPr>
    </w:p>
    <w:p w14:paraId="6CC50470" w14:textId="77777777" w:rsidR="008838A5" w:rsidRDefault="008838A5" w:rsidP="008838A5">
      <w:pPr>
        <w:spacing w:after="160"/>
        <w:rPr>
          <w:sz w:val="22"/>
          <w:szCs w:val="22"/>
          <w:lang w:val="es-CO"/>
        </w:rPr>
      </w:pPr>
      <w:r w:rsidRPr="00974A25">
        <w:rPr>
          <w:rFonts w:cs="Arial"/>
          <w:sz w:val="22"/>
          <w:szCs w:val="22"/>
          <w:lang w:val="es-CO"/>
        </w:rPr>
        <w:t>Los parámetros y variables determinados por la Comisión en los numerales 3.4 y 3.5 son los que aplica el CND para el recálculo de las curvas ISO-GT y para su publicación en la página web, junto con el documento soporte del cálculo y los insumos utilizados, en los términos y dentro del plazo previstos en el parágrafo 2 del artículo 8</w:t>
      </w:r>
      <w:r>
        <w:rPr>
          <w:sz w:val="22"/>
          <w:szCs w:val="22"/>
          <w:lang w:val="es-CO"/>
        </w:rPr>
        <w:t>. El valor del umbral ISO-térmica resultará de aplicar a esas curvas el criterio establecido en el numeral 3.9 de este documento.</w:t>
      </w:r>
    </w:p>
    <w:p w14:paraId="5D4825CF" w14:textId="77777777" w:rsidR="008838A5" w:rsidRDefault="008838A5" w:rsidP="008838A5">
      <w:pPr>
        <w:spacing w:after="160"/>
        <w:rPr>
          <w:sz w:val="22"/>
          <w:szCs w:val="22"/>
          <w:lang w:val="es-CO"/>
        </w:rPr>
      </w:pPr>
      <w:r w:rsidRPr="00974A25">
        <w:rPr>
          <w:rFonts w:cs="Arial"/>
          <w:sz w:val="22"/>
          <w:szCs w:val="22"/>
          <w:lang w:val="es-CO"/>
        </w:rPr>
        <w:t>Adicionalmente, en la publicación prevista en el literal c. del artículo 8 las curvas y sus productos se identifican con las denominaciones adoptadas</w:t>
      </w:r>
      <w:r>
        <w:rPr>
          <w:sz w:val="22"/>
          <w:szCs w:val="22"/>
          <w:lang w:val="es-CO"/>
        </w:rPr>
        <w:t xml:space="preserve"> en la resolución, esto es, curvas ISO-GT, umbral ISO-térmica y valor mínimo de generación térmica.</w:t>
      </w:r>
    </w:p>
    <w:p w14:paraId="33DF7069" w14:textId="77777777" w:rsidR="008838A5" w:rsidRDefault="008838A5" w:rsidP="008838A5">
      <w:pPr>
        <w:spacing w:after="160"/>
        <w:rPr>
          <w:sz w:val="22"/>
          <w:szCs w:val="22"/>
          <w:lang w:val="es-CO"/>
        </w:rPr>
      </w:pPr>
      <w:r>
        <w:rPr>
          <w:sz w:val="22"/>
          <w:szCs w:val="22"/>
          <w:lang w:val="es-CO"/>
        </w:rPr>
        <w:t xml:space="preserve">Los parámetros y variables aquí determinados rigen para el cálculo de las primeras curvas ISO-GT, correspondientes al período hidrológico que va del mes de publicación de la resolución en el </w:t>
      </w:r>
      <w:r>
        <w:rPr>
          <w:sz w:val="22"/>
          <w:szCs w:val="22"/>
          <w:lang w:val="es-CO"/>
        </w:rPr>
        <w:lastRenderedPageBreak/>
        <w:t>Diario Oficial hasta abril de 2027, y serán revisados en la actualización del mes de noviembre de 2026 prevista en el literal d. del artículo 8, sin perjuicio de la actualización extraordinaria del parágrafo 1 del mismo artículo cuando el CND o el CNO indiquen que las curvas han dejado de representar los supuestos de las variables de entrada.</w:t>
      </w:r>
    </w:p>
    <w:bookmarkEnd w:id="0"/>
    <w:bookmarkEnd w:id="1"/>
    <w:p w14:paraId="46CC8F19" w14:textId="77777777" w:rsidR="00E7209B" w:rsidRDefault="00E7209B" w:rsidP="003C55ED">
      <w:pPr>
        <w:pStyle w:val="Ttulo1"/>
        <w:numPr>
          <w:ilvl w:val="0"/>
          <w:numId w:val="0"/>
        </w:numPr>
        <w:ind w:left="432" w:hanging="432"/>
        <w:jc w:val="center"/>
      </w:pPr>
    </w:p>
    <w:sectPr w:rsidR="00E7209B" w:rsidSect="00DD7346">
      <w:headerReference w:type="default" r:id="rId24"/>
      <w:footerReference w:type="default" r:id="rId25"/>
      <w:pgSz w:w="12242" w:h="15842" w:code="1"/>
      <w:pgMar w:top="1418" w:right="1418" w:bottom="1418" w:left="1418" w:header="851"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EAC0A" w14:textId="77777777" w:rsidR="009D0D1F" w:rsidRDefault="009D0D1F">
      <w:r>
        <w:separator/>
      </w:r>
    </w:p>
  </w:endnote>
  <w:endnote w:type="continuationSeparator" w:id="0">
    <w:p w14:paraId="6C30529D" w14:textId="77777777" w:rsidR="009D0D1F" w:rsidRDefault="009D0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6537" w14:textId="77777777" w:rsidR="008838A5" w:rsidRPr="008838A5" w:rsidRDefault="008838A5" w:rsidP="008838A5">
    <w:pPr>
      <w:pStyle w:val="Textoindependiente"/>
      <w:jc w:val="both"/>
      <w:rPr>
        <w:sz w:val="16"/>
        <w:szCs w:val="16"/>
        <w:lang w:val="es-ES"/>
      </w:rPr>
    </w:pPr>
    <w:r w:rsidRPr="008838A5">
      <w:rPr>
        <w:sz w:val="16"/>
        <w:szCs w:val="16"/>
        <w:lang w:val="es-ES"/>
      </w:rPr>
      <w:t>PARÁMETROS Y VARIABLES PARA EL CÁLCULO DE LAS CURVAS ISO-GT, Y EL X% DE LA CURVA DE REFERENCIA DE LAS OFERTAS DE PRECIO DE LAS PLANTAS HIDRÁULICAS</w:t>
    </w:r>
  </w:p>
  <w:p w14:paraId="381FC4E1" w14:textId="77777777" w:rsidR="001700C2" w:rsidRDefault="001700C2" w:rsidP="0077100C">
    <w:pPr>
      <w:pStyle w:val="Piedepgina"/>
      <w:rPr>
        <w:b/>
        <w:sz w:val="16"/>
        <w:lang w:val="es-CO"/>
      </w:rPr>
    </w:pP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3"/>
      <w:gridCol w:w="2791"/>
      <w:gridCol w:w="2633"/>
    </w:tblGrid>
    <w:tr w:rsidR="00456730" w:rsidRPr="00456730" w14:paraId="40F6C052" w14:textId="77777777" w:rsidTr="3702CEB7">
      <w:trPr>
        <w:cantSplit/>
        <w:trHeight w:val="254"/>
        <w:jc w:val="center"/>
      </w:trPr>
      <w:tc>
        <w:tcPr>
          <w:tcW w:w="2314" w:type="pct"/>
          <w:vAlign w:val="center"/>
        </w:tcPr>
        <w:p w14:paraId="35D0AB47" w14:textId="77777777" w:rsidR="00456730" w:rsidRPr="00456730" w:rsidRDefault="00456730" w:rsidP="00456730">
          <w:pPr>
            <w:contextualSpacing/>
            <w:rPr>
              <w:iCs/>
              <w:sz w:val="14"/>
            </w:rPr>
          </w:pPr>
          <w:r w:rsidRPr="00456730">
            <w:rPr>
              <w:rFonts w:cs="Arial"/>
              <w:iCs/>
              <w:sz w:val="14"/>
            </w:rPr>
            <w:t xml:space="preserve">Proceso        </w:t>
          </w:r>
          <w:r w:rsidRPr="00456730">
            <w:rPr>
              <w:rFonts w:cs="Arial"/>
              <w:b/>
              <w:iCs/>
              <w:sz w:val="14"/>
            </w:rPr>
            <w:t>REGULACIÓN</w:t>
          </w:r>
        </w:p>
      </w:tc>
      <w:tc>
        <w:tcPr>
          <w:tcW w:w="1382" w:type="pct"/>
          <w:vAlign w:val="center"/>
        </w:tcPr>
        <w:p w14:paraId="21479DD5" w14:textId="77777777" w:rsidR="00456730" w:rsidRPr="00456730" w:rsidRDefault="00456730" w:rsidP="00456730">
          <w:pPr>
            <w:contextualSpacing/>
            <w:rPr>
              <w:rFonts w:cs="Arial"/>
              <w:iCs/>
              <w:sz w:val="14"/>
            </w:rPr>
          </w:pPr>
          <w:r w:rsidRPr="00456730">
            <w:rPr>
              <w:rFonts w:cs="Arial"/>
              <w:b/>
              <w:iCs/>
              <w:sz w:val="14"/>
            </w:rPr>
            <w:t xml:space="preserve">Código: </w:t>
          </w:r>
          <w:r w:rsidRPr="00456730">
            <w:rPr>
              <w:rFonts w:cs="Arial"/>
              <w:iCs/>
              <w:sz w:val="14"/>
            </w:rPr>
            <w:t>RG-FT-005</w:t>
          </w:r>
        </w:p>
      </w:tc>
      <w:tc>
        <w:tcPr>
          <w:tcW w:w="1304" w:type="pct"/>
          <w:vAlign w:val="center"/>
        </w:tcPr>
        <w:p w14:paraId="537EC274" w14:textId="77777777" w:rsidR="00456730" w:rsidRPr="00456730" w:rsidRDefault="00456730" w:rsidP="00456730">
          <w:pPr>
            <w:contextualSpacing/>
            <w:rPr>
              <w:rFonts w:cs="Arial"/>
              <w:iCs/>
              <w:sz w:val="14"/>
            </w:rPr>
          </w:pPr>
          <w:r w:rsidRPr="00456730">
            <w:rPr>
              <w:rFonts w:cs="Arial"/>
              <w:b/>
              <w:iCs/>
              <w:sz w:val="14"/>
            </w:rPr>
            <w:t xml:space="preserve">Versión: </w:t>
          </w:r>
          <w:r w:rsidR="008B734F">
            <w:rPr>
              <w:rFonts w:cs="Arial"/>
              <w:iCs/>
              <w:sz w:val="14"/>
            </w:rPr>
            <w:t>1</w:t>
          </w:r>
        </w:p>
      </w:tc>
    </w:tr>
    <w:tr w:rsidR="00456730" w:rsidRPr="00456730" w14:paraId="448AF68A" w14:textId="77777777" w:rsidTr="3702CEB7">
      <w:trPr>
        <w:cantSplit/>
        <w:trHeight w:val="261"/>
        <w:jc w:val="center"/>
      </w:trPr>
      <w:tc>
        <w:tcPr>
          <w:tcW w:w="2314" w:type="pct"/>
          <w:vAlign w:val="center"/>
        </w:tcPr>
        <w:p w14:paraId="553CDE02" w14:textId="77777777" w:rsidR="00456730" w:rsidRPr="00456730" w:rsidRDefault="3702CEB7" w:rsidP="3702CEB7">
          <w:pPr>
            <w:ind w:left="923" w:hanging="923"/>
            <w:contextualSpacing/>
            <w:rPr>
              <w:rFonts w:cs="Arial"/>
              <w:sz w:val="14"/>
              <w:szCs w:val="14"/>
              <w:lang w:val="es-ES"/>
            </w:rPr>
          </w:pPr>
          <w:r w:rsidRPr="3702CEB7">
            <w:rPr>
              <w:rFonts w:cs="Arial"/>
              <w:sz w:val="14"/>
              <w:szCs w:val="14"/>
              <w:lang w:val="es-ES"/>
            </w:rPr>
            <w:t xml:space="preserve">Documento   </w:t>
          </w:r>
          <w:r w:rsidRPr="3702CEB7">
            <w:rPr>
              <w:rFonts w:cs="Arial"/>
              <w:b/>
              <w:bCs/>
              <w:sz w:val="14"/>
              <w:szCs w:val="14"/>
              <w:lang w:val="es-ES"/>
            </w:rPr>
            <w:t>DOCUMENTO CREG</w:t>
          </w:r>
        </w:p>
      </w:tc>
      <w:tc>
        <w:tcPr>
          <w:tcW w:w="1382" w:type="pct"/>
          <w:vAlign w:val="center"/>
        </w:tcPr>
        <w:p w14:paraId="1B1DD2DD" w14:textId="77777777" w:rsidR="00456730" w:rsidRPr="00456730" w:rsidRDefault="00456730" w:rsidP="008B734F">
          <w:pPr>
            <w:contextualSpacing/>
            <w:rPr>
              <w:rFonts w:cs="Arial"/>
              <w:iCs/>
              <w:sz w:val="14"/>
            </w:rPr>
          </w:pPr>
          <w:r w:rsidRPr="00456730">
            <w:rPr>
              <w:rFonts w:cs="Arial"/>
              <w:b/>
              <w:iCs/>
              <w:sz w:val="14"/>
            </w:rPr>
            <w:t xml:space="preserve">Fecha última revisión: </w:t>
          </w:r>
          <w:r w:rsidR="008B734F">
            <w:rPr>
              <w:rFonts w:cs="Arial"/>
              <w:b/>
              <w:iCs/>
              <w:sz w:val="14"/>
            </w:rPr>
            <w:t>14/11/2017</w:t>
          </w:r>
        </w:p>
      </w:tc>
      <w:tc>
        <w:tcPr>
          <w:tcW w:w="1304" w:type="pct"/>
          <w:vAlign w:val="center"/>
        </w:tcPr>
        <w:p w14:paraId="622F1D7C" w14:textId="77777777" w:rsidR="00456730" w:rsidRPr="00456730" w:rsidRDefault="00456730" w:rsidP="00B60742">
          <w:pPr>
            <w:contextualSpacing/>
            <w:rPr>
              <w:rFonts w:cs="Arial"/>
              <w:iCs/>
              <w:sz w:val="14"/>
            </w:rPr>
          </w:pPr>
          <w:r w:rsidRPr="00456730">
            <w:rPr>
              <w:rFonts w:cs="Arial"/>
              <w:b/>
              <w:iCs/>
              <w:sz w:val="14"/>
            </w:rPr>
            <w:t>Página:</w:t>
          </w:r>
          <w:r w:rsidRPr="00456730">
            <w:rPr>
              <w:rFonts w:cs="Arial"/>
              <w:iCs/>
              <w:sz w:val="14"/>
            </w:rPr>
            <w:t xml:space="preserve"> </w:t>
          </w:r>
          <w:r w:rsidRPr="00456730">
            <w:rPr>
              <w:rFonts w:cs="Arial"/>
              <w:iCs/>
              <w:sz w:val="14"/>
            </w:rPr>
            <w:fldChar w:fldCharType="begin"/>
          </w:r>
          <w:r w:rsidRPr="00456730">
            <w:rPr>
              <w:rFonts w:cs="Arial"/>
              <w:iCs/>
              <w:sz w:val="14"/>
            </w:rPr>
            <w:instrText xml:space="preserve"> PAGE </w:instrText>
          </w:r>
          <w:r w:rsidRPr="00456730">
            <w:rPr>
              <w:rFonts w:cs="Arial"/>
              <w:iCs/>
              <w:sz w:val="14"/>
            </w:rPr>
            <w:fldChar w:fldCharType="separate"/>
          </w:r>
          <w:r w:rsidR="008B734F">
            <w:rPr>
              <w:rFonts w:cs="Arial"/>
              <w:iCs/>
              <w:noProof/>
              <w:sz w:val="14"/>
            </w:rPr>
            <w:t>2</w:t>
          </w:r>
          <w:r w:rsidRPr="00456730">
            <w:rPr>
              <w:rFonts w:cs="Arial"/>
              <w:iCs/>
              <w:sz w:val="14"/>
            </w:rPr>
            <w:fldChar w:fldCharType="end"/>
          </w:r>
          <w:r w:rsidR="0054039F">
            <w:rPr>
              <w:rFonts w:cs="Arial"/>
              <w:iCs/>
              <w:sz w:val="14"/>
            </w:rPr>
            <w:t xml:space="preserve"> </w:t>
          </w:r>
        </w:p>
      </w:tc>
    </w:tr>
  </w:tbl>
  <w:p w14:paraId="2220D377" w14:textId="77777777" w:rsidR="00456730" w:rsidRPr="00BE2C84" w:rsidRDefault="00456730" w:rsidP="00DD7346">
    <w:pPr>
      <w:ind w:right="-449"/>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C8C87" w14:textId="77777777" w:rsidR="009D0D1F" w:rsidRDefault="009D0D1F">
      <w:r>
        <w:separator/>
      </w:r>
    </w:p>
  </w:footnote>
  <w:footnote w:type="continuationSeparator" w:id="0">
    <w:p w14:paraId="166634A4" w14:textId="77777777" w:rsidR="009D0D1F" w:rsidRDefault="009D0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59B3" w14:textId="6C20F763" w:rsidR="00020441" w:rsidRDefault="00020441">
    <w:pPr>
      <w:pStyle w:val="Encabezado"/>
      <w:rPr>
        <w:rFonts w:cs="Arial"/>
        <w:b/>
        <w:i/>
        <w:color w:val="808080"/>
        <w:sz w:val="16"/>
      </w:rPr>
    </w:pPr>
    <w:r>
      <w:rPr>
        <w:rFonts w:cs="Arial"/>
        <w:b/>
        <w:i/>
        <w:color w:val="808080"/>
        <w:sz w:val="16"/>
      </w:rPr>
      <w:t xml:space="preserve">Sesión </w:t>
    </w:r>
    <w:r w:rsidR="00253ED7">
      <w:rPr>
        <w:rFonts w:cs="Arial"/>
        <w:b/>
        <w:i/>
        <w:color w:val="808080"/>
        <w:sz w:val="16"/>
      </w:rPr>
      <w:t>n.°</w:t>
    </w:r>
    <w:r w:rsidR="008838A5">
      <w:rPr>
        <w:rFonts w:cs="Arial"/>
        <w:b/>
        <w:i/>
        <w:color w:val="808080"/>
        <w:sz w:val="16"/>
      </w:rPr>
      <w:t xml:space="preserve"> 1494</w:t>
    </w:r>
  </w:p>
  <w:p w14:paraId="208EE55F" w14:textId="77777777" w:rsidR="008838A5" w:rsidRDefault="008838A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91CEB"/>
    <w:multiLevelType w:val="hybridMultilevel"/>
    <w:tmpl w:val="E55463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2F44159"/>
    <w:multiLevelType w:val="multilevel"/>
    <w:tmpl w:val="FAF072A8"/>
    <w:lvl w:ilvl="0">
      <w:start w:val="1"/>
      <w:numFmt w:val="decimal"/>
      <w:pStyle w:val="Ttulo1"/>
      <w:lvlText w:val="%1."/>
      <w:lvlJc w:val="left"/>
      <w:pPr>
        <w:tabs>
          <w:tab w:val="num" w:pos="432"/>
        </w:tabs>
        <w:ind w:left="432" w:hanging="432"/>
      </w:pPr>
    </w:lvl>
    <w:lvl w:ilvl="1">
      <w:start w:val="1"/>
      <w:numFmt w:val="decimal"/>
      <w:pStyle w:val="Ttulo2"/>
      <w:lvlText w:val="%1.%2"/>
      <w:lvlJc w:val="left"/>
      <w:pPr>
        <w:tabs>
          <w:tab w:val="num" w:pos="576"/>
        </w:tabs>
        <w:ind w:left="57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864"/>
        </w:tabs>
        <w:ind w:left="864"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 w15:restartNumberingAfterBreak="0">
    <w:nsid w:val="3D006CDB"/>
    <w:multiLevelType w:val="hybridMultilevel"/>
    <w:tmpl w:val="02AA943E"/>
    <w:lvl w:ilvl="0" w:tplc="240A0001">
      <w:start w:val="1"/>
      <w:numFmt w:val="bullet"/>
      <w:lvlText w:val=""/>
      <w:lvlJc w:val="left"/>
      <w:pPr>
        <w:ind w:left="1428" w:hanging="360"/>
      </w:pPr>
      <w:rPr>
        <w:rFonts w:ascii="Symbol" w:hAnsi="Symbol" w:hint="default"/>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3" w15:restartNumberingAfterBreak="0">
    <w:nsid w:val="58836928"/>
    <w:multiLevelType w:val="hybridMultilevel"/>
    <w:tmpl w:val="9C447B26"/>
    <w:lvl w:ilvl="0" w:tplc="708AFF1C">
      <w:start w:val="1"/>
      <w:numFmt w:val="bullet"/>
      <w:lvlText w:val="-"/>
      <w:lvlJc w:val="left"/>
      <w:pPr>
        <w:ind w:left="1068" w:hanging="360"/>
      </w:pPr>
      <w:rPr>
        <w:rFonts w:ascii="Arial" w:eastAsia="Times New Roman" w:hAnsi="Arial" w:cs="Aria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4" w15:restartNumberingAfterBreak="0">
    <w:nsid w:val="59BF361A"/>
    <w:multiLevelType w:val="hybridMultilevel"/>
    <w:tmpl w:val="8870CC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DEA3146"/>
    <w:multiLevelType w:val="hybridMultilevel"/>
    <w:tmpl w:val="8870CC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60100BF3"/>
    <w:multiLevelType w:val="hybridMultilevel"/>
    <w:tmpl w:val="4CDE74BA"/>
    <w:lvl w:ilvl="0" w:tplc="240A000F">
      <w:start w:val="1"/>
      <w:numFmt w:val="bullet"/>
      <w:lvlText w:val=""/>
      <w:lvlJc w:val="left"/>
      <w:pPr>
        <w:ind w:left="720" w:hanging="360"/>
      </w:pPr>
      <w:rPr>
        <w:rFonts w:ascii="Symbol" w:hAnsi="Symbol" w:hint="default"/>
      </w:rPr>
    </w:lvl>
    <w:lvl w:ilvl="1" w:tplc="240A0019" w:tentative="1">
      <w:start w:val="1"/>
      <w:numFmt w:val="bullet"/>
      <w:lvlText w:val="o"/>
      <w:lvlJc w:val="left"/>
      <w:pPr>
        <w:ind w:left="1440" w:hanging="360"/>
      </w:pPr>
      <w:rPr>
        <w:rFonts w:ascii="Courier New" w:hAnsi="Courier New" w:cs="Courier New" w:hint="default"/>
      </w:rPr>
    </w:lvl>
    <w:lvl w:ilvl="2" w:tplc="240A001B" w:tentative="1">
      <w:start w:val="1"/>
      <w:numFmt w:val="bullet"/>
      <w:lvlText w:val=""/>
      <w:lvlJc w:val="left"/>
      <w:pPr>
        <w:ind w:left="2160" w:hanging="360"/>
      </w:pPr>
      <w:rPr>
        <w:rFonts w:ascii="Wingdings" w:hAnsi="Wingdings" w:hint="default"/>
      </w:rPr>
    </w:lvl>
    <w:lvl w:ilvl="3" w:tplc="240A000F" w:tentative="1">
      <w:start w:val="1"/>
      <w:numFmt w:val="bullet"/>
      <w:lvlText w:val=""/>
      <w:lvlJc w:val="left"/>
      <w:pPr>
        <w:ind w:left="2880" w:hanging="360"/>
      </w:pPr>
      <w:rPr>
        <w:rFonts w:ascii="Symbol" w:hAnsi="Symbol" w:hint="default"/>
      </w:rPr>
    </w:lvl>
    <w:lvl w:ilvl="4" w:tplc="240A0019" w:tentative="1">
      <w:start w:val="1"/>
      <w:numFmt w:val="bullet"/>
      <w:lvlText w:val="o"/>
      <w:lvlJc w:val="left"/>
      <w:pPr>
        <w:ind w:left="3600" w:hanging="360"/>
      </w:pPr>
      <w:rPr>
        <w:rFonts w:ascii="Courier New" w:hAnsi="Courier New" w:cs="Courier New" w:hint="default"/>
      </w:rPr>
    </w:lvl>
    <w:lvl w:ilvl="5" w:tplc="240A001B" w:tentative="1">
      <w:start w:val="1"/>
      <w:numFmt w:val="bullet"/>
      <w:lvlText w:val=""/>
      <w:lvlJc w:val="left"/>
      <w:pPr>
        <w:ind w:left="4320" w:hanging="360"/>
      </w:pPr>
      <w:rPr>
        <w:rFonts w:ascii="Wingdings" w:hAnsi="Wingdings" w:hint="default"/>
      </w:rPr>
    </w:lvl>
    <w:lvl w:ilvl="6" w:tplc="240A000F" w:tentative="1">
      <w:start w:val="1"/>
      <w:numFmt w:val="bullet"/>
      <w:lvlText w:val=""/>
      <w:lvlJc w:val="left"/>
      <w:pPr>
        <w:ind w:left="5040" w:hanging="360"/>
      </w:pPr>
      <w:rPr>
        <w:rFonts w:ascii="Symbol" w:hAnsi="Symbol" w:hint="default"/>
      </w:rPr>
    </w:lvl>
    <w:lvl w:ilvl="7" w:tplc="240A0019" w:tentative="1">
      <w:start w:val="1"/>
      <w:numFmt w:val="bullet"/>
      <w:lvlText w:val="o"/>
      <w:lvlJc w:val="left"/>
      <w:pPr>
        <w:ind w:left="5760" w:hanging="360"/>
      </w:pPr>
      <w:rPr>
        <w:rFonts w:ascii="Courier New" w:hAnsi="Courier New" w:cs="Courier New" w:hint="default"/>
      </w:rPr>
    </w:lvl>
    <w:lvl w:ilvl="8" w:tplc="240A001B" w:tentative="1">
      <w:start w:val="1"/>
      <w:numFmt w:val="bullet"/>
      <w:lvlText w:val=""/>
      <w:lvlJc w:val="left"/>
      <w:pPr>
        <w:ind w:left="6480" w:hanging="360"/>
      </w:pPr>
      <w:rPr>
        <w:rFonts w:ascii="Wingdings" w:hAnsi="Wingdings" w:hint="default"/>
      </w:rPr>
    </w:lvl>
  </w:abstractNum>
  <w:abstractNum w:abstractNumId="7" w15:restartNumberingAfterBreak="0">
    <w:nsid w:val="71383563"/>
    <w:multiLevelType w:val="hybridMultilevel"/>
    <w:tmpl w:val="FAE0E7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7B2D50F0"/>
    <w:multiLevelType w:val="hybridMultilevel"/>
    <w:tmpl w:val="8870CC6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01872976">
    <w:abstractNumId w:val="1"/>
  </w:num>
  <w:num w:numId="2" w16cid:durableId="801968684">
    <w:abstractNumId w:val="1"/>
  </w:num>
  <w:num w:numId="3" w16cid:durableId="2073001526">
    <w:abstractNumId w:val="1"/>
  </w:num>
  <w:num w:numId="4" w16cid:durableId="780993275">
    <w:abstractNumId w:val="1"/>
  </w:num>
  <w:num w:numId="5" w16cid:durableId="493184022">
    <w:abstractNumId w:val="1"/>
  </w:num>
  <w:num w:numId="6" w16cid:durableId="449592109">
    <w:abstractNumId w:val="1"/>
  </w:num>
  <w:num w:numId="7" w16cid:durableId="1909227231">
    <w:abstractNumId w:val="6"/>
  </w:num>
  <w:num w:numId="8" w16cid:durableId="467629627">
    <w:abstractNumId w:val="4"/>
  </w:num>
  <w:num w:numId="9" w16cid:durableId="959071692">
    <w:abstractNumId w:val="7"/>
  </w:num>
  <w:num w:numId="10" w16cid:durableId="2118718905">
    <w:abstractNumId w:val="8"/>
  </w:num>
  <w:num w:numId="11" w16cid:durableId="811794889">
    <w:abstractNumId w:val="5"/>
  </w:num>
  <w:num w:numId="12" w16cid:durableId="196089711">
    <w:abstractNumId w:val="3"/>
  </w:num>
  <w:num w:numId="13" w16cid:durableId="983437049">
    <w:abstractNumId w:val="0"/>
  </w:num>
  <w:num w:numId="14" w16cid:durableId="18672812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249595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852"/>
    <w:rsid w:val="00000520"/>
    <w:rsid w:val="00012759"/>
    <w:rsid w:val="00020441"/>
    <w:rsid w:val="00041B12"/>
    <w:rsid w:val="00052C88"/>
    <w:rsid w:val="00056DFC"/>
    <w:rsid w:val="00066421"/>
    <w:rsid w:val="000B5AD2"/>
    <w:rsid w:val="000E6A9D"/>
    <w:rsid w:val="000F7BF9"/>
    <w:rsid w:val="0010544E"/>
    <w:rsid w:val="0015231C"/>
    <w:rsid w:val="001700C2"/>
    <w:rsid w:val="00172DD4"/>
    <w:rsid w:val="00186477"/>
    <w:rsid w:val="00194F02"/>
    <w:rsid w:val="00220D0D"/>
    <w:rsid w:val="00242826"/>
    <w:rsid w:val="00253ED7"/>
    <w:rsid w:val="00277DD8"/>
    <w:rsid w:val="002838B5"/>
    <w:rsid w:val="0028466C"/>
    <w:rsid w:val="002E19C4"/>
    <w:rsid w:val="002E361C"/>
    <w:rsid w:val="003320D3"/>
    <w:rsid w:val="00342D19"/>
    <w:rsid w:val="00346BC3"/>
    <w:rsid w:val="003537F1"/>
    <w:rsid w:val="003642B0"/>
    <w:rsid w:val="0038050C"/>
    <w:rsid w:val="003C55ED"/>
    <w:rsid w:val="0040539F"/>
    <w:rsid w:val="00407EB7"/>
    <w:rsid w:val="00420F87"/>
    <w:rsid w:val="00446983"/>
    <w:rsid w:val="00456730"/>
    <w:rsid w:val="004914CA"/>
    <w:rsid w:val="004A733B"/>
    <w:rsid w:val="004B0F92"/>
    <w:rsid w:val="004E3965"/>
    <w:rsid w:val="004E4022"/>
    <w:rsid w:val="004F0E6A"/>
    <w:rsid w:val="005042D3"/>
    <w:rsid w:val="005074C3"/>
    <w:rsid w:val="00517002"/>
    <w:rsid w:val="0054039F"/>
    <w:rsid w:val="00544840"/>
    <w:rsid w:val="00587047"/>
    <w:rsid w:val="005A4F42"/>
    <w:rsid w:val="005D26BC"/>
    <w:rsid w:val="005E21FD"/>
    <w:rsid w:val="0060207B"/>
    <w:rsid w:val="00640798"/>
    <w:rsid w:val="00650478"/>
    <w:rsid w:val="0066453F"/>
    <w:rsid w:val="006864FD"/>
    <w:rsid w:val="006E1029"/>
    <w:rsid w:val="006E1AB3"/>
    <w:rsid w:val="006F6017"/>
    <w:rsid w:val="006F6694"/>
    <w:rsid w:val="00717554"/>
    <w:rsid w:val="007319DB"/>
    <w:rsid w:val="0074297C"/>
    <w:rsid w:val="0075349B"/>
    <w:rsid w:val="00765B90"/>
    <w:rsid w:val="0077100C"/>
    <w:rsid w:val="007864F4"/>
    <w:rsid w:val="007D4F1C"/>
    <w:rsid w:val="007E0711"/>
    <w:rsid w:val="00836DB7"/>
    <w:rsid w:val="00841F2F"/>
    <w:rsid w:val="00842447"/>
    <w:rsid w:val="00844067"/>
    <w:rsid w:val="008529B4"/>
    <w:rsid w:val="008838A5"/>
    <w:rsid w:val="008A3820"/>
    <w:rsid w:val="008B734F"/>
    <w:rsid w:val="008E4B18"/>
    <w:rsid w:val="008F5A0E"/>
    <w:rsid w:val="008F7D49"/>
    <w:rsid w:val="00933069"/>
    <w:rsid w:val="00935705"/>
    <w:rsid w:val="00954B4E"/>
    <w:rsid w:val="00956F71"/>
    <w:rsid w:val="009640AD"/>
    <w:rsid w:val="0098175C"/>
    <w:rsid w:val="009C08C1"/>
    <w:rsid w:val="009D0D1F"/>
    <w:rsid w:val="009F44D1"/>
    <w:rsid w:val="00A15852"/>
    <w:rsid w:val="00A2276C"/>
    <w:rsid w:val="00A30D43"/>
    <w:rsid w:val="00A524B5"/>
    <w:rsid w:val="00A75117"/>
    <w:rsid w:val="00AC6BAE"/>
    <w:rsid w:val="00AD174E"/>
    <w:rsid w:val="00AD41A0"/>
    <w:rsid w:val="00AE4628"/>
    <w:rsid w:val="00B425AB"/>
    <w:rsid w:val="00B465B5"/>
    <w:rsid w:val="00B60742"/>
    <w:rsid w:val="00B60C56"/>
    <w:rsid w:val="00B81BF9"/>
    <w:rsid w:val="00B94CF0"/>
    <w:rsid w:val="00BE2C84"/>
    <w:rsid w:val="00C40736"/>
    <w:rsid w:val="00CA1E84"/>
    <w:rsid w:val="00CA5CE2"/>
    <w:rsid w:val="00CB67B8"/>
    <w:rsid w:val="00CB7AD8"/>
    <w:rsid w:val="00CD3AA7"/>
    <w:rsid w:val="00CE1F58"/>
    <w:rsid w:val="00D15CD1"/>
    <w:rsid w:val="00D16CD3"/>
    <w:rsid w:val="00D3123C"/>
    <w:rsid w:val="00D45984"/>
    <w:rsid w:val="00D70E20"/>
    <w:rsid w:val="00DB5FB9"/>
    <w:rsid w:val="00DB6372"/>
    <w:rsid w:val="00DC4CA3"/>
    <w:rsid w:val="00DD12AF"/>
    <w:rsid w:val="00DD7346"/>
    <w:rsid w:val="00DF25B4"/>
    <w:rsid w:val="00E166D7"/>
    <w:rsid w:val="00E47A91"/>
    <w:rsid w:val="00E528E4"/>
    <w:rsid w:val="00E5451A"/>
    <w:rsid w:val="00E7209B"/>
    <w:rsid w:val="00EA424C"/>
    <w:rsid w:val="00EA6A61"/>
    <w:rsid w:val="00EA6C1E"/>
    <w:rsid w:val="00EB5413"/>
    <w:rsid w:val="00EF7184"/>
    <w:rsid w:val="00F03A5A"/>
    <w:rsid w:val="00F12D6B"/>
    <w:rsid w:val="00F24455"/>
    <w:rsid w:val="00F40D91"/>
    <w:rsid w:val="00F57719"/>
    <w:rsid w:val="00F83DE5"/>
    <w:rsid w:val="00FA61B5"/>
    <w:rsid w:val="3702CE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D68DF0"/>
  <w15:chartTrackingRefBased/>
  <w15:docId w15:val="{9AD85BFA-729B-4F74-8277-11534F5FF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ascii="Arial" w:hAnsi="Arial"/>
      <w:sz w:val="24"/>
      <w:lang w:val="es-ES_tradnl" w:eastAsia="es-ES"/>
    </w:rPr>
  </w:style>
  <w:style w:type="paragraph" w:styleId="Ttulo1">
    <w:name w:val="heading 1"/>
    <w:basedOn w:val="Normal"/>
    <w:next w:val="Normal"/>
    <w:link w:val="Ttulo1Car"/>
    <w:qFormat/>
    <w:pPr>
      <w:keepNext/>
      <w:numPr>
        <w:numId w:val="3"/>
      </w:numPr>
      <w:suppressAutoHyphens/>
      <w:spacing w:after="240"/>
      <w:outlineLvl w:val="0"/>
    </w:pPr>
    <w:rPr>
      <w:b/>
    </w:rPr>
  </w:style>
  <w:style w:type="paragraph" w:styleId="Ttulo2">
    <w:name w:val="heading 2"/>
    <w:basedOn w:val="Normal"/>
    <w:next w:val="Normal"/>
    <w:link w:val="Ttulo2Car"/>
    <w:qFormat/>
    <w:pPr>
      <w:keepNext/>
      <w:numPr>
        <w:ilvl w:val="1"/>
        <w:numId w:val="2"/>
      </w:numPr>
      <w:spacing w:after="240"/>
      <w:ind w:left="578" w:hanging="578"/>
      <w:outlineLvl w:val="1"/>
    </w:pPr>
    <w:rPr>
      <w:b/>
      <w:szCs w:val="24"/>
    </w:rPr>
  </w:style>
  <w:style w:type="paragraph" w:styleId="Ttulo3">
    <w:name w:val="heading 3"/>
    <w:basedOn w:val="Normal"/>
    <w:next w:val="Normal"/>
    <w:qFormat/>
    <w:pPr>
      <w:keepNext/>
      <w:numPr>
        <w:ilvl w:val="2"/>
        <w:numId w:val="4"/>
      </w:numPr>
      <w:tabs>
        <w:tab w:val="left" w:pos="0"/>
      </w:tabs>
      <w:suppressAutoHyphens/>
      <w:spacing w:after="240"/>
      <w:outlineLvl w:val="2"/>
    </w:pPr>
    <w:rPr>
      <w:b/>
      <w:lang w:val="es-ES"/>
    </w:rPr>
  </w:style>
  <w:style w:type="paragraph" w:styleId="Ttulo4">
    <w:name w:val="heading 4"/>
    <w:basedOn w:val="Normal"/>
    <w:next w:val="Normal"/>
    <w:qFormat/>
    <w:pPr>
      <w:keepNext/>
      <w:numPr>
        <w:ilvl w:val="3"/>
        <w:numId w:val="5"/>
      </w:numPr>
      <w:spacing w:after="240"/>
      <w:ind w:left="862" w:hanging="862"/>
      <w:outlineLvl w:val="3"/>
    </w:pPr>
    <w:rPr>
      <w:b/>
    </w:rPr>
  </w:style>
  <w:style w:type="paragraph" w:styleId="Ttulo5">
    <w:name w:val="heading 5"/>
    <w:basedOn w:val="Normal"/>
    <w:next w:val="Normal"/>
    <w:qFormat/>
    <w:pPr>
      <w:keepNext/>
      <w:numPr>
        <w:ilvl w:val="4"/>
        <w:numId w:val="6"/>
      </w:numPr>
      <w:spacing w:after="240"/>
      <w:ind w:left="1009" w:hanging="1009"/>
      <w:outlineLvl w:val="4"/>
    </w:pPr>
    <w:rPr>
      <w:sz w:val="22"/>
    </w:rPr>
  </w:style>
  <w:style w:type="paragraph" w:styleId="Ttulo6">
    <w:name w:val="heading 6"/>
    <w:basedOn w:val="Normal"/>
    <w:next w:val="Normal"/>
    <w:qFormat/>
    <w:pPr>
      <w:numPr>
        <w:ilvl w:val="5"/>
        <w:numId w:val="1"/>
      </w:numPr>
      <w:spacing w:before="240" w:after="60"/>
      <w:outlineLvl w:val="5"/>
    </w:pPr>
    <w:rPr>
      <w:rFonts w:ascii="Times New Roman" w:hAnsi="Times New Roman"/>
      <w:i/>
      <w:sz w:val="22"/>
    </w:rPr>
  </w:style>
  <w:style w:type="paragraph" w:styleId="Ttulo7">
    <w:name w:val="heading 7"/>
    <w:basedOn w:val="Normal"/>
    <w:next w:val="Normal"/>
    <w:qFormat/>
    <w:pPr>
      <w:numPr>
        <w:ilvl w:val="6"/>
        <w:numId w:val="1"/>
      </w:numPr>
      <w:spacing w:before="240" w:after="60"/>
      <w:outlineLvl w:val="6"/>
    </w:pPr>
    <w:rPr>
      <w:sz w:val="20"/>
    </w:rPr>
  </w:style>
  <w:style w:type="paragraph" w:styleId="Ttulo8">
    <w:name w:val="heading 8"/>
    <w:basedOn w:val="Normal"/>
    <w:next w:val="Normal"/>
    <w:qFormat/>
    <w:pPr>
      <w:numPr>
        <w:ilvl w:val="7"/>
        <w:numId w:val="1"/>
      </w:numPr>
      <w:spacing w:before="240" w:after="60"/>
      <w:outlineLvl w:val="7"/>
    </w:pPr>
    <w:rPr>
      <w:i/>
      <w:sz w:val="20"/>
    </w:rPr>
  </w:style>
  <w:style w:type="paragraph" w:styleId="Ttulo9">
    <w:name w:val="heading 9"/>
    <w:basedOn w:val="Normal"/>
    <w:next w:val="Normal"/>
    <w:qFormat/>
    <w:pPr>
      <w:numPr>
        <w:ilvl w:val="8"/>
        <w:numId w:val="1"/>
      </w:numPr>
      <w:spacing w:before="240" w:after="60"/>
      <w:outlineLvl w:val="8"/>
    </w:pPr>
    <w:rPr>
      <w:b/>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pPr>
      <w:jc w:val="center"/>
    </w:pPr>
    <w:rPr>
      <w:b/>
    </w:rPr>
  </w:style>
  <w:style w:type="paragraph" w:styleId="TDC1">
    <w:name w:val="toc 1"/>
    <w:basedOn w:val="Normal"/>
    <w:next w:val="Normal"/>
    <w:autoRedefine/>
    <w:uiPriority w:val="39"/>
    <w:rsid w:val="003C55ED"/>
    <w:pPr>
      <w:tabs>
        <w:tab w:val="left" w:pos="480"/>
        <w:tab w:val="right" w:leader="dot" w:pos="8828"/>
      </w:tabs>
      <w:spacing w:before="120"/>
    </w:pPr>
    <w:rPr>
      <w:noProof/>
      <w:szCs w:val="24"/>
      <w:lang w:val="es-ES"/>
    </w:rPr>
  </w:style>
  <w:style w:type="paragraph" w:styleId="TDC2">
    <w:name w:val="toc 2"/>
    <w:basedOn w:val="Normal"/>
    <w:next w:val="Normal"/>
    <w:autoRedefine/>
    <w:uiPriority w:val="39"/>
    <w:pPr>
      <w:tabs>
        <w:tab w:val="left" w:pos="960"/>
        <w:tab w:val="right" w:leader="dot" w:pos="8820"/>
      </w:tabs>
      <w:ind w:left="960" w:right="378" w:hanging="720"/>
      <w:jc w:val="left"/>
    </w:pPr>
    <w:rPr>
      <w:noProof/>
      <w:szCs w:val="24"/>
      <w:lang w:val="es-ES"/>
    </w:rPr>
  </w:style>
  <w:style w:type="paragraph" w:styleId="TDC3">
    <w:name w:val="toc 3"/>
    <w:basedOn w:val="Normal"/>
    <w:next w:val="Normal"/>
    <w:autoRedefine/>
    <w:semiHidden/>
    <w:pPr>
      <w:ind w:left="480"/>
    </w:pPr>
    <w:rPr>
      <w:szCs w:val="24"/>
      <w:lang w:val="es-ES"/>
    </w:rPr>
  </w:style>
  <w:style w:type="paragraph" w:customStyle="1" w:styleId="Citas">
    <w:name w:val="Citas"/>
    <w:basedOn w:val="Normal"/>
    <w:next w:val="Normal"/>
    <w:pPr>
      <w:ind w:left="708" w:right="476"/>
    </w:pPr>
    <w:rPr>
      <w:rFonts w:ascii="Times New Roman" w:hAnsi="Times New Roman"/>
      <w:i/>
      <w:iCs/>
    </w:rPr>
  </w:style>
  <w:style w:type="paragraph" w:styleId="Piedepgina">
    <w:name w:val="footer"/>
    <w:basedOn w:val="Normal"/>
    <w:link w:val="PiedepginaCar"/>
    <w:uiPriority w:val="99"/>
    <w:pPr>
      <w:tabs>
        <w:tab w:val="center" w:pos="4252"/>
        <w:tab w:val="right" w:pos="8504"/>
      </w:tabs>
    </w:pPr>
  </w:style>
  <w:style w:type="paragraph" w:styleId="Textonotapie">
    <w:name w:val="footnote text"/>
    <w:basedOn w:val="Normal"/>
    <w:link w:val="TextonotapieCar"/>
    <w:semiHidden/>
    <w:rPr>
      <w:sz w:val="20"/>
    </w:rPr>
  </w:style>
  <w:style w:type="paragraph" w:customStyle="1" w:styleId="Epgrafe">
    <w:name w:val="Epígrafe"/>
    <w:basedOn w:val="Normal"/>
    <w:next w:val="Normal"/>
    <w:qFormat/>
    <w:pPr>
      <w:spacing w:before="120" w:after="120"/>
    </w:pPr>
    <w:rPr>
      <w:b/>
    </w:rPr>
  </w:style>
  <w:style w:type="paragraph" w:styleId="Sangra2detindependiente">
    <w:name w:val="Body Text Indent 2"/>
    <w:basedOn w:val="Normal"/>
    <w:semiHidden/>
    <w:pPr>
      <w:ind w:left="567" w:hanging="567"/>
      <w:outlineLvl w:val="0"/>
    </w:pPr>
    <w:rPr>
      <w:b/>
      <w:sz w:val="20"/>
      <w:szCs w:val="24"/>
      <w:lang w:val="es-CO"/>
    </w:rPr>
  </w:style>
  <w:style w:type="paragraph" w:styleId="Textoindependiente">
    <w:name w:val="Body Text"/>
    <w:basedOn w:val="Normal"/>
    <w:semiHidden/>
    <w:pPr>
      <w:jc w:val="center"/>
    </w:pPr>
    <w:rPr>
      <w:b/>
      <w:sz w:val="48"/>
    </w:rPr>
  </w:style>
  <w:style w:type="paragraph" w:styleId="TDC4">
    <w:name w:val="toc 4"/>
    <w:basedOn w:val="Normal"/>
    <w:next w:val="Normal"/>
    <w:autoRedefine/>
    <w:semiHidden/>
    <w:pPr>
      <w:ind w:left="720"/>
    </w:pPr>
  </w:style>
  <w:style w:type="paragraph" w:styleId="TDC5">
    <w:name w:val="toc 5"/>
    <w:basedOn w:val="Normal"/>
    <w:next w:val="Normal"/>
    <w:autoRedefine/>
    <w:semiHidden/>
    <w:pPr>
      <w:ind w:left="960"/>
    </w:pPr>
  </w:style>
  <w:style w:type="paragraph" w:styleId="TDC6">
    <w:name w:val="toc 6"/>
    <w:basedOn w:val="Normal"/>
    <w:next w:val="Normal"/>
    <w:autoRedefine/>
    <w:semiHidden/>
    <w:pPr>
      <w:ind w:left="1200"/>
    </w:pPr>
  </w:style>
  <w:style w:type="paragraph" w:styleId="TDC7">
    <w:name w:val="toc 7"/>
    <w:basedOn w:val="Normal"/>
    <w:next w:val="Normal"/>
    <w:autoRedefine/>
    <w:semiHidden/>
    <w:pPr>
      <w:ind w:left="1440"/>
    </w:pPr>
  </w:style>
  <w:style w:type="paragraph" w:styleId="TDC8">
    <w:name w:val="toc 8"/>
    <w:basedOn w:val="Normal"/>
    <w:next w:val="Normal"/>
    <w:autoRedefine/>
    <w:semiHidden/>
    <w:pPr>
      <w:ind w:left="1680"/>
    </w:pPr>
  </w:style>
  <w:style w:type="paragraph" w:styleId="TDC9">
    <w:name w:val="toc 9"/>
    <w:basedOn w:val="Normal"/>
    <w:next w:val="Normal"/>
    <w:autoRedefine/>
    <w:semiHidden/>
    <w:pPr>
      <w:ind w:left="1920"/>
    </w:pPr>
  </w:style>
  <w:style w:type="character" w:styleId="Hipervnculo">
    <w:name w:val="Hyperlink"/>
    <w:uiPriority w:val="99"/>
    <w:rPr>
      <w:color w:val="0000FF"/>
      <w:u w:val="single"/>
    </w:rPr>
  </w:style>
  <w:style w:type="character" w:styleId="Nmerodepgina">
    <w:name w:val="page number"/>
    <w:basedOn w:val="Fuentedeprrafopredeter"/>
    <w:semiHidden/>
  </w:style>
  <w:style w:type="paragraph" w:styleId="Encabezado">
    <w:name w:val="header"/>
    <w:basedOn w:val="Normal"/>
    <w:semiHidden/>
    <w:pPr>
      <w:tabs>
        <w:tab w:val="center" w:pos="4252"/>
        <w:tab w:val="right" w:pos="8504"/>
      </w:tabs>
    </w:pPr>
  </w:style>
  <w:style w:type="character" w:styleId="Refdenotaalpie">
    <w:name w:val="footnote reference"/>
    <w:semiHidden/>
    <w:rPr>
      <w:vertAlign w:val="superscript"/>
    </w:rPr>
  </w:style>
  <w:style w:type="paragraph" w:styleId="Textoindependiente2">
    <w:name w:val="Body Text 2"/>
    <w:basedOn w:val="Normal"/>
    <w:link w:val="Textoindependiente2Car"/>
    <w:semiHidden/>
    <w:pPr>
      <w:tabs>
        <w:tab w:val="left" w:pos="-720"/>
        <w:tab w:val="left" w:pos="0"/>
      </w:tabs>
      <w:suppressAutoHyphens/>
    </w:pPr>
    <w:rPr>
      <w:color w:val="000000"/>
      <w:spacing w:val="-3"/>
    </w:rPr>
  </w:style>
  <w:style w:type="paragraph" w:styleId="Textoindependiente3">
    <w:name w:val="Body Text 3"/>
    <w:basedOn w:val="Normal"/>
    <w:semiHidden/>
    <w:pPr>
      <w:jc w:val="center"/>
    </w:pPr>
    <w:rPr>
      <w:b/>
      <w:bCs/>
      <w:sz w:val="22"/>
    </w:rPr>
  </w:style>
  <w:style w:type="paragraph" w:styleId="Textodebloque">
    <w:name w:val="Block Text"/>
    <w:basedOn w:val="Normal"/>
    <w:semiHidden/>
    <w:pPr>
      <w:ind w:left="709" w:right="901"/>
      <w:jc w:val="center"/>
    </w:pPr>
    <w:rPr>
      <w:rFonts w:ascii="Bookman Old Style" w:hAnsi="Bookman Old Style"/>
      <w:sz w:val="22"/>
      <w:szCs w:val="24"/>
    </w:rPr>
  </w:style>
  <w:style w:type="paragraph" w:styleId="Tabladeilustraciones">
    <w:name w:val="table of figures"/>
    <w:basedOn w:val="Normal"/>
    <w:next w:val="Normal"/>
    <w:semiHidden/>
    <w:pPr>
      <w:tabs>
        <w:tab w:val="right" w:leader="dot" w:pos="8828"/>
      </w:tabs>
      <w:ind w:left="480" w:hanging="480"/>
    </w:pPr>
    <w:rPr>
      <w:noProof/>
    </w:rPr>
  </w:style>
  <w:style w:type="character" w:styleId="Refdecomentario">
    <w:name w:val="annotation reference"/>
    <w:semiHidden/>
    <w:rPr>
      <w:sz w:val="16"/>
      <w:szCs w:val="16"/>
    </w:rPr>
  </w:style>
  <w:style w:type="paragraph" w:styleId="Textocomentario">
    <w:name w:val="annotation text"/>
    <w:basedOn w:val="Normal"/>
    <w:link w:val="TextocomentarioCar"/>
    <w:uiPriority w:val="99"/>
    <w:rPr>
      <w:sz w:val="20"/>
    </w:rPr>
  </w:style>
  <w:style w:type="paragraph" w:styleId="Mapadeldocumento">
    <w:name w:val="Document Map"/>
    <w:basedOn w:val="Normal"/>
    <w:semiHidden/>
    <w:pPr>
      <w:shd w:val="clear" w:color="auto" w:fill="000080"/>
    </w:pPr>
    <w:rPr>
      <w:rFonts w:ascii="Tahoma" w:hAnsi="Tahoma" w:cs="Tahoma"/>
    </w:rPr>
  </w:style>
  <w:style w:type="character" w:customStyle="1" w:styleId="eacep1">
    <w:name w:val="eacep1"/>
    <w:rPr>
      <w:color w:val="000000"/>
    </w:rPr>
  </w:style>
  <w:style w:type="character" w:customStyle="1" w:styleId="PiedepginaCar">
    <w:name w:val="Pie de página Car"/>
    <w:link w:val="Piedepgina"/>
    <w:uiPriority w:val="99"/>
    <w:rsid w:val="0077100C"/>
    <w:rPr>
      <w:rFonts w:ascii="Arial" w:hAnsi="Arial"/>
      <w:sz w:val="24"/>
      <w:lang w:val="es-ES_tradnl" w:eastAsia="es-ES"/>
    </w:rPr>
  </w:style>
  <w:style w:type="character" w:customStyle="1" w:styleId="TextocomentarioCar">
    <w:name w:val="Texto comentario Car"/>
    <w:link w:val="Textocomentario"/>
    <w:uiPriority w:val="99"/>
    <w:rsid w:val="004E3965"/>
    <w:rPr>
      <w:rFonts w:ascii="Arial" w:hAnsi="Arial"/>
      <w:lang w:val="es-ES_tradnl" w:eastAsia="es-ES"/>
    </w:rPr>
  </w:style>
  <w:style w:type="paragraph" w:styleId="Prrafodelista">
    <w:name w:val="List Paragraph"/>
    <w:basedOn w:val="Normal"/>
    <w:uiPriority w:val="34"/>
    <w:qFormat/>
    <w:rsid w:val="003C55ED"/>
    <w:pPr>
      <w:ind w:left="708"/>
    </w:pPr>
  </w:style>
  <w:style w:type="paragraph" w:styleId="NormalWeb">
    <w:name w:val="Normal (Web)"/>
    <w:basedOn w:val="Normal"/>
    <w:uiPriority w:val="99"/>
    <w:semiHidden/>
    <w:unhideWhenUsed/>
    <w:rsid w:val="00DB6372"/>
    <w:pPr>
      <w:spacing w:before="100" w:beforeAutospacing="1" w:after="100" w:afterAutospacing="1"/>
      <w:jc w:val="left"/>
    </w:pPr>
    <w:rPr>
      <w:rFonts w:ascii="Times New Roman" w:hAnsi="Times New Roman"/>
      <w:szCs w:val="24"/>
      <w:lang w:val="es-CO" w:eastAsia="es-CO"/>
    </w:rPr>
  </w:style>
  <w:style w:type="character" w:customStyle="1" w:styleId="Ttulo1Car">
    <w:name w:val="Título 1 Car"/>
    <w:basedOn w:val="Fuentedeprrafopredeter"/>
    <w:link w:val="Ttulo1"/>
    <w:rsid w:val="00E7209B"/>
    <w:rPr>
      <w:rFonts w:ascii="Arial" w:hAnsi="Arial"/>
      <w:b/>
      <w:sz w:val="24"/>
      <w:lang w:val="es-ES_tradnl" w:eastAsia="es-ES"/>
    </w:rPr>
  </w:style>
  <w:style w:type="character" w:customStyle="1" w:styleId="Ttulo2Car">
    <w:name w:val="Título 2 Car"/>
    <w:basedOn w:val="Fuentedeprrafopredeter"/>
    <w:link w:val="Ttulo2"/>
    <w:rsid w:val="00E7209B"/>
    <w:rPr>
      <w:rFonts w:ascii="Arial" w:hAnsi="Arial"/>
      <w:b/>
      <w:sz w:val="24"/>
      <w:szCs w:val="24"/>
      <w:lang w:val="es-ES_tradnl" w:eastAsia="es-ES"/>
    </w:rPr>
  </w:style>
  <w:style w:type="character" w:customStyle="1" w:styleId="TextonotapieCar">
    <w:name w:val="Texto nota pie Car"/>
    <w:basedOn w:val="Fuentedeprrafopredeter"/>
    <w:link w:val="Textonotapie"/>
    <w:semiHidden/>
    <w:rsid w:val="00E7209B"/>
    <w:rPr>
      <w:rFonts w:ascii="Arial" w:hAnsi="Arial"/>
      <w:lang w:val="es-ES_tradnl" w:eastAsia="es-ES"/>
    </w:rPr>
  </w:style>
  <w:style w:type="character" w:customStyle="1" w:styleId="TtuloCar">
    <w:name w:val="Título Car"/>
    <w:basedOn w:val="Fuentedeprrafopredeter"/>
    <w:link w:val="Ttulo"/>
    <w:rsid w:val="00E7209B"/>
    <w:rPr>
      <w:rFonts w:ascii="Arial" w:hAnsi="Arial"/>
      <w:b/>
      <w:sz w:val="24"/>
      <w:lang w:val="es-ES_tradnl" w:eastAsia="es-ES"/>
    </w:rPr>
  </w:style>
  <w:style w:type="character" w:customStyle="1" w:styleId="Textoindependiente2Car">
    <w:name w:val="Texto independiente 2 Car"/>
    <w:basedOn w:val="Fuentedeprrafopredeter"/>
    <w:link w:val="Textoindependiente2"/>
    <w:semiHidden/>
    <w:rsid w:val="00E7209B"/>
    <w:rPr>
      <w:rFonts w:ascii="Arial" w:hAnsi="Arial"/>
      <w:color w:val="000000"/>
      <w:spacing w:val="-3"/>
      <w:sz w:val="24"/>
      <w:lang w:val="es-ES_tradnl" w:eastAsia="es-ES"/>
    </w:rPr>
  </w:style>
  <w:style w:type="paragraph" w:styleId="Descripcin">
    <w:name w:val="caption"/>
    <w:basedOn w:val="Normal"/>
    <w:next w:val="Normal"/>
    <w:uiPriority w:val="35"/>
    <w:qFormat/>
    <w:rsid w:val="008838A5"/>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80247">
      <w:bodyDiv w:val="1"/>
      <w:marLeft w:val="0"/>
      <w:marRight w:val="0"/>
      <w:marTop w:val="0"/>
      <w:marBottom w:val="0"/>
      <w:divBdr>
        <w:top w:val="none" w:sz="0" w:space="0" w:color="auto"/>
        <w:left w:val="none" w:sz="0" w:space="0" w:color="auto"/>
        <w:bottom w:val="none" w:sz="0" w:space="0" w:color="auto"/>
        <w:right w:val="none" w:sz="0" w:space="0" w:color="auto"/>
      </w:divBdr>
    </w:div>
    <w:div w:id="958878885">
      <w:bodyDiv w:val="1"/>
      <w:marLeft w:val="0"/>
      <w:marRight w:val="0"/>
      <w:marTop w:val="0"/>
      <w:marBottom w:val="0"/>
      <w:divBdr>
        <w:top w:val="none" w:sz="0" w:space="0" w:color="auto"/>
        <w:left w:val="none" w:sz="0" w:space="0" w:color="auto"/>
        <w:bottom w:val="none" w:sz="0" w:space="0" w:color="auto"/>
        <w:right w:val="none" w:sz="0" w:space="0" w:color="auto"/>
      </w:divBdr>
    </w:div>
    <w:div w:id="2045134746">
      <w:bodyDiv w:val="1"/>
      <w:marLeft w:val="0"/>
      <w:marRight w:val="0"/>
      <w:marTop w:val="0"/>
      <w:marBottom w:val="0"/>
      <w:divBdr>
        <w:top w:val="none" w:sz="0" w:space="0" w:color="auto"/>
        <w:left w:val="none" w:sz="0" w:space="0" w:color="auto"/>
        <w:bottom w:val="none" w:sz="0" w:space="0" w:color="auto"/>
        <w:right w:val="none" w:sz="0" w:space="0" w:color="auto"/>
      </w:divBdr>
    </w:div>
    <w:div w:id="213112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24E01-FC66-4752-B668-90338849E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5756</Words>
  <Characters>31662</Characters>
  <Application>Microsoft Office Word</Application>
  <DocSecurity>0</DocSecurity>
  <Lines>263</Lines>
  <Paragraphs>74</Paragraphs>
  <ScaleCrop>false</ScaleCrop>
  <Company>CREG</Company>
  <LinksUpToDate>false</LinksUpToDate>
  <CharactersWithSpaces>37344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CREG - REGULACIÓN CONSULTA Y DEFINITIVA CARACTER GENERAL</dc:title>
  <dc:subject/>
  <dc:creator>Creg189</dc:creator>
  <cp:keywords/>
  <cp:lastModifiedBy>Miguel Angel Lozada Urrego</cp:lastModifiedBy>
  <cp:revision>6</cp:revision>
  <cp:lastPrinted>2026-09-05T22:06:00Z</cp:lastPrinted>
  <dcterms:created xsi:type="dcterms:W3CDTF">2026-09-05T22:17:00Z</dcterms:created>
  <dcterms:modified xsi:type="dcterms:W3CDTF">2026-09-05T23:33:00Z</dcterms:modified>
</cp:coreProperties>
</file>